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12AEB4">
      <w:pPr>
        <w:widowControl/>
        <w:jc w:val="center"/>
        <w:rPr>
          <w:rFonts w:ascii="仿宋" w:hAnsi="仿宋" w:eastAsia="仿宋" w:cs="宋体"/>
          <w:color w:val="333333"/>
          <w:kern w:val="0"/>
          <w:sz w:val="32"/>
          <w:szCs w:val="24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32"/>
          <w:szCs w:val="24"/>
        </w:rPr>
        <w:t xml:space="preserve"> “</w:t>
      </w:r>
      <w:r>
        <w:rPr>
          <w:rFonts w:hint="eastAsia" w:ascii="仿宋" w:hAnsi="仿宋" w:eastAsia="仿宋" w:cs="宋体"/>
          <w:b/>
          <w:bCs/>
          <w:color w:val="333333"/>
          <w:kern w:val="0"/>
          <w:sz w:val="32"/>
          <w:szCs w:val="24"/>
          <w:lang w:val="en-US" w:eastAsia="zh-CN"/>
        </w:rPr>
        <w:t>大数据与商业分析</w:t>
      </w:r>
      <w:r>
        <w:rPr>
          <w:rFonts w:hint="eastAsia" w:ascii="仿宋" w:hAnsi="仿宋" w:eastAsia="仿宋" w:cs="宋体"/>
          <w:b/>
          <w:bCs/>
          <w:color w:val="333333"/>
          <w:kern w:val="0"/>
          <w:sz w:val="32"/>
          <w:szCs w:val="24"/>
        </w:rPr>
        <w:t>”微专业</w:t>
      </w:r>
      <w:r>
        <w:rPr>
          <w:rFonts w:ascii="仿宋" w:hAnsi="仿宋" w:eastAsia="仿宋" w:cs="宋体"/>
          <w:b/>
          <w:bCs/>
          <w:color w:val="333333"/>
          <w:kern w:val="0"/>
          <w:sz w:val="32"/>
          <w:szCs w:val="24"/>
        </w:rPr>
        <w:br w:type="textWrapping"/>
      </w:r>
      <w:r>
        <w:rPr>
          <w:rFonts w:hint="eastAsia" w:ascii="仿宋" w:hAnsi="仿宋" w:eastAsia="仿宋" w:cs="宋体"/>
          <w:b/>
          <w:bCs/>
          <w:color w:val="333333"/>
          <w:kern w:val="0"/>
          <w:sz w:val="32"/>
          <w:szCs w:val="24"/>
        </w:rPr>
        <w:t>招生简章</w:t>
      </w:r>
    </w:p>
    <w:p w14:paraId="0F1B4A02">
      <w:pPr>
        <w:widowControl/>
        <w:snapToGrid w:val="0"/>
        <w:spacing w:line="360" w:lineRule="auto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24"/>
          <w:szCs w:val="24"/>
        </w:rPr>
        <w:t>一、专业简介</w:t>
      </w:r>
    </w:p>
    <w:p w14:paraId="401FEB78">
      <w:pPr>
        <w:widowControl/>
        <w:snapToGrid w:val="0"/>
        <w:spacing w:line="360" w:lineRule="auto"/>
        <w:ind w:firstLine="480"/>
        <w:rPr>
          <w:rFonts w:hint="eastAsia" w:ascii="仿宋" w:hAnsi="仿宋" w:eastAsia="仿宋" w:cs="宋体"/>
          <w:color w:val="333333"/>
          <w:kern w:val="0"/>
          <w:sz w:val="24"/>
          <w:szCs w:val="24"/>
          <w:lang w:eastAsia="zh-CN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大数据与商业分析微专业面向数字商业发展趋势，融合数据技术与商科逻辑，构建以“商科底蕴+数据技能”为核心的课程体系。通过Python数据处理、商业数据分析统计等核心课程，并结合“理论+实战”模块，系统培养学生从工具掌握、分析应用到实战落地的全链条能力。本微专业旨在使学生具备数据可视化、用户分析、商业预测与文本挖掘等技能，能够解决实际商业问题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eastAsia="zh-CN"/>
        </w:rPr>
        <w:t>。</w:t>
      </w:r>
    </w:p>
    <w:p w14:paraId="6D0466C3">
      <w:pPr>
        <w:widowControl/>
        <w:snapToGrid w:val="0"/>
        <w:spacing w:line="360" w:lineRule="auto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24"/>
          <w:szCs w:val="24"/>
        </w:rPr>
        <w:t>二、培养目标</w:t>
      </w:r>
    </w:p>
    <w:p w14:paraId="09C9D772">
      <w:pPr>
        <w:widowControl/>
        <w:snapToGrid w:val="0"/>
        <w:spacing w:line="360" w:lineRule="auto"/>
        <w:ind w:firstLine="480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大数据与商业分析微专业以“商科洞察力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+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数据科学力”为培养双引擎，精准对标企业数字化转型核心需求。本专业通过构建“理论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eastAsia="zh-CN"/>
        </w:rPr>
        <w:t>—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工具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eastAsia="zh-CN"/>
        </w:rPr>
        <w:t>—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实战”全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面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培养体系，使学生既掌握Python、机器学习等前沿数据技术，又具备将数据分析转化为商业决策的实战能力。毕业生将成长为兼具商业思维与技术能力的复合型人才，能在市场研判、用户洞察与运营优化等关键场景中创造价值，从而在就业市场中建立“懂业务的工程师”与“精技术的分析师”的核心竞争优势，为职业发展开拓广阔空间。</w:t>
      </w:r>
    </w:p>
    <w:p w14:paraId="66D6502E">
      <w:pPr>
        <w:widowControl/>
        <w:spacing w:after="240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24"/>
          <w:szCs w:val="24"/>
        </w:rPr>
        <w:t>三、课程设置</w:t>
      </w:r>
    </w:p>
    <w:tbl>
      <w:tblPr>
        <w:tblStyle w:val="4"/>
        <w:tblW w:w="4932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325"/>
        <w:gridCol w:w="2544"/>
        <w:gridCol w:w="423"/>
        <w:gridCol w:w="477"/>
        <w:gridCol w:w="534"/>
        <w:gridCol w:w="611"/>
        <w:gridCol w:w="611"/>
        <w:gridCol w:w="700"/>
        <w:gridCol w:w="444"/>
        <w:gridCol w:w="637"/>
      </w:tblGrid>
      <w:tr w14:paraId="6DD9D9F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46" w:hRule="atLeast"/>
          <w:jc w:val="center"/>
        </w:trPr>
        <w:tc>
          <w:tcPr>
            <w:tcW w:w="1325" w:type="dxa"/>
            <w:vMerge w:val="restart"/>
            <w:vAlign w:val="center"/>
          </w:tcPr>
          <w:p w14:paraId="4C1CD798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Times New Roman"/>
                <w:b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课程编号</w:t>
            </w:r>
          </w:p>
        </w:tc>
        <w:tc>
          <w:tcPr>
            <w:tcW w:w="2544" w:type="dxa"/>
            <w:vMerge w:val="restart"/>
            <w:tcBorders>
              <w:right w:val="single" w:color="auto" w:sz="8" w:space="0"/>
            </w:tcBorders>
            <w:shd w:val="clear" w:color="auto" w:fill="auto"/>
            <w:vAlign w:val="center"/>
          </w:tcPr>
          <w:p w14:paraId="3DEFDE33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课程名称</w:t>
            </w:r>
          </w:p>
        </w:tc>
        <w:tc>
          <w:tcPr>
            <w:tcW w:w="42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4" w:space="0"/>
            </w:tcBorders>
            <w:vAlign w:val="center"/>
          </w:tcPr>
          <w:p w14:paraId="25C82B14">
            <w:pPr>
              <w:adjustRightInd w:val="0"/>
              <w:snapToGrid w:val="0"/>
              <w:jc w:val="center"/>
              <w:textAlignment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总学分</w:t>
            </w:r>
          </w:p>
        </w:tc>
        <w:tc>
          <w:tcPr>
            <w:tcW w:w="477" w:type="dxa"/>
            <w:vMerge w:val="restart"/>
            <w:tcBorders>
              <w:top w:val="single" w:color="auto" w:sz="8" w:space="0"/>
              <w:bottom w:val="single" w:color="auto" w:sz="4" w:space="0"/>
            </w:tcBorders>
            <w:shd w:val="clear" w:color="auto" w:fill="auto"/>
            <w:vAlign w:val="center"/>
          </w:tcPr>
          <w:p w14:paraId="7B69CFA3">
            <w:pPr>
              <w:adjustRightInd w:val="0"/>
              <w:snapToGrid w:val="0"/>
              <w:jc w:val="center"/>
              <w:textAlignment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总学时</w:t>
            </w:r>
          </w:p>
        </w:tc>
        <w:tc>
          <w:tcPr>
            <w:tcW w:w="2456" w:type="dxa"/>
            <w:gridSpan w:val="4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3713CCD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>学时分配</w:t>
            </w:r>
          </w:p>
        </w:tc>
        <w:tc>
          <w:tcPr>
            <w:tcW w:w="444" w:type="dxa"/>
            <w:vMerge w:val="restart"/>
            <w:shd w:val="clear" w:color="auto" w:fill="auto"/>
            <w:vAlign w:val="center"/>
          </w:tcPr>
          <w:p w14:paraId="46F76009">
            <w:pPr>
              <w:adjustRightInd w:val="0"/>
              <w:snapToGrid w:val="0"/>
              <w:jc w:val="center"/>
              <w:textAlignment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开课学期</w:t>
            </w:r>
          </w:p>
        </w:tc>
        <w:tc>
          <w:tcPr>
            <w:tcW w:w="637" w:type="dxa"/>
            <w:vMerge w:val="restart"/>
            <w:shd w:val="clear" w:color="auto" w:fill="auto"/>
            <w:vAlign w:val="center"/>
          </w:tcPr>
          <w:p w14:paraId="6620DE26">
            <w:pPr>
              <w:adjustRightInd w:val="0"/>
              <w:snapToGrid w:val="0"/>
              <w:jc w:val="center"/>
              <w:textAlignment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考核方式</w:t>
            </w:r>
          </w:p>
        </w:tc>
      </w:tr>
      <w:tr w14:paraId="1211205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8" w:hRule="atLeast"/>
          <w:jc w:val="center"/>
        </w:trPr>
        <w:tc>
          <w:tcPr>
            <w:tcW w:w="1325" w:type="dxa"/>
            <w:vMerge w:val="continue"/>
            <w:tcBorders>
              <w:bottom w:val="single" w:color="auto" w:sz="8" w:space="0"/>
            </w:tcBorders>
            <w:vAlign w:val="center"/>
          </w:tcPr>
          <w:p w14:paraId="74894CEC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544" w:type="dxa"/>
            <w:vMerge w:val="continue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81ADF3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8" w:space="0"/>
            </w:tcBorders>
            <w:vAlign w:val="center"/>
          </w:tcPr>
          <w:p w14:paraId="713F189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  <w:vAlign w:val="center"/>
          </w:tcPr>
          <w:p w14:paraId="4FC84C7C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等线"/>
                <w:color w:val="000000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  <w:vAlign w:val="center"/>
          </w:tcPr>
          <w:p w14:paraId="0063622C">
            <w:pPr>
              <w:adjustRightInd w:val="0"/>
              <w:snapToGrid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线下学时</w:t>
            </w:r>
          </w:p>
        </w:tc>
        <w:tc>
          <w:tcPr>
            <w:tcW w:w="611" w:type="dxa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  <w:vAlign w:val="center"/>
          </w:tcPr>
          <w:p w14:paraId="3C98B100">
            <w:pPr>
              <w:adjustRightInd w:val="0"/>
              <w:snapToGrid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线上学时</w:t>
            </w:r>
          </w:p>
        </w:tc>
        <w:tc>
          <w:tcPr>
            <w:tcW w:w="611" w:type="dxa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  <w:vAlign w:val="center"/>
          </w:tcPr>
          <w:p w14:paraId="3D31C711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理论学时</w:t>
            </w:r>
          </w:p>
        </w:tc>
        <w:tc>
          <w:tcPr>
            <w:tcW w:w="700" w:type="dxa"/>
            <w:tcBorders>
              <w:top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F5850F3">
            <w:pPr>
              <w:adjustRightInd w:val="0"/>
              <w:snapToGrid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实践学时</w:t>
            </w:r>
          </w:p>
        </w:tc>
        <w:tc>
          <w:tcPr>
            <w:tcW w:w="444" w:type="dxa"/>
            <w:vMerge w:val="continue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4E3CA869">
            <w:pPr>
              <w:adjustRightInd w:val="0"/>
              <w:snapToGrid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37" w:type="dxa"/>
            <w:vMerge w:val="continue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19E074CE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sz w:val="24"/>
                <w:szCs w:val="24"/>
              </w:rPr>
            </w:pPr>
          </w:p>
        </w:tc>
      </w:tr>
      <w:tr w14:paraId="2A709CA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1" w:hRule="atLeast"/>
          <w:jc w:val="center"/>
        </w:trPr>
        <w:tc>
          <w:tcPr>
            <w:tcW w:w="1325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 w14:paraId="729AFF1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bidi="ar"/>
              </w:rPr>
              <w:t>2025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 w:bidi="ar"/>
              </w:rPr>
              <w:t>JGW101</w:t>
            </w:r>
          </w:p>
        </w:tc>
        <w:tc>
          <w:tcPr>
            <w:tcW w:w="2544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47D427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Python数据处理基础</w:t>
            </w:r>
          </w:p>
        </w:tc>
        <w:tc>
          <w:tcPr>
            <w:tcW w:w="4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 w14:paraId="6539FCE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77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7054D70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48</w:t>
            </w:r>
          </w:p>
        </w:tc>
        <w:tc>
          <w:tcPr>
            <w:tcW w:w="534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3B376FC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611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2F8DA76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611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1E13FA3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70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8EC2EA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444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2630100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37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15C202F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考查</w:t>
            </w:r>
          </w:p>
        </w:tc>
      </w:tr>
      <w:tr w14:paraId="52725BF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1" w:hRule="atLeast"/>
          <w:jc w:val="center"/>
        </w:trPr>
        <w:tc>
          <w:tcPr>
            <w:tcW w:w="1325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 w14:paraId="47AA7F8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bidi="ar"/>
              </w:rPr>
              <w:t>2025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 w:bidi="ar"/>
              </w:rPr>
              <w:t>JGW102</w:t>
            </w:r>
          </w:p>
        </w:tc>
        <w:tc>
          <w:tcPr>
            <w:tcW w:w="2544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EE25E1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商业数据统计分析</w:t>
            </w:r>
          </w:p>
        </w:tc>
        <w:tc>
          <w:tcPr>
            <w:tcW w:w="4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 w14:paraId="19602B2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77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5AC3406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48</w:t>
            </w:r>
          </w:p>
        </w:tc>
        <w:tc>
          <w:tcPr>
            <w:tcW w:w="534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1A16FB0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611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3F22F47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611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64A9C71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70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933743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444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6CD5411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37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66B64BC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考试</w:t>
            </w:r>
          </w:p>
        </w:tc>
      </w:tr>
      <w:tr w14:paraId="64AC4DF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1" w:hRule="atLeast"/>
          <w:jc w:val="center"/>
        </w:trPr>
        <w:tc>
          <w:tcPr>
            <w:tcW w:w="1325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 w14:paraId="3D4675C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bidi="ar"/>
              </w:rPr>
              <w:t>2025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 w:bidi="ar"/>
              </w:rPr>
              <w:t>JGW103</w:t>
            </w:r>
          </w:p>
        </w:tc>
        <w:tc>
          <w:tcPr>
            <w:tcW w:w="2544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4666D6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数据可视化与商业洞察</w:t>
            </w:r>
          </w:p>
        </w:tc>
        <w:tc>
          <w:tcPr>
            <w:tcW w:w="4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 w14:paraId="5937C95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77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630FCCC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534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046C5C5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611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2F62818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611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1AD42B8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70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BB7266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444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1193E7E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37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1A5EE13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考试</w:t>
            </w:r>
          </w:p>
        </w:tc>
      </w:tr>
      <w:tr w14:paraId="1AFE423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1" w:hRule="atLeast"/>
          <w:jc w:val="center"/>
        </w:trPr>
        <w:tc>
          <w:tcPr>
            <w:tcW w:w="1325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 w14:paraId="6E103AF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bidi="ar"/>
              </w:rPr>
              <w:t>2025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 w:bidi="ar"/>
              </w:rPr>
              <w:t>JGW104</w:t>
            </w:r>
          </w:p>
        </w:tc>
        <w:tc>
          <w:tcPr>
            <w:tcW w:w="2544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1570D8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商业预测与机器学习</w:t>
            </w:r>
          </w:p>
        </w:tc>
        <w:tc>
          <w:tcPr>
            <w:tcW w:w="4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 w14:paraId="6818284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77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7E59173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48</w:t>
            </w:r>
          </w:p>
        </w:tc>
        <w:tc>
          <w:tcPr>
            <w:tcW w:w="534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6ACD036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611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4B478D0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611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3F7A456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70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7FC43F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444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0A97CBD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37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4F78217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考查</w:t>
            </w:r>
          </w:p>
        </w:tc>
      </w:tr>
      <w:tr w14:paraId="1C2A77A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1" w:hRule="atLeast"/>
          <w:jc w:val="center"/>
        </w:trPr>
        <w:tc>
          <w:tcPr>
            <w:tcW w:w="1325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 w14:paraId="4985A74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bidi="ar"/>
              </w:rPr>
              <w:t>2025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 w:bidi="ar"/>
              </w:rPr>
              <w:t>JGW105</w:t>
            </w:r>
          </w:p>
        </w:tc>
        <w:tc>
          <w:tcPr>
            <w:tcW w:w="2544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CE39AD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文本挖掘与用户分析</w:t>
            </w:r>
          </w:p>
        </w:tc>
        <w:tc>
          <w:tcPr>
            <w:tcW w:w="4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 w14:paraId="3547BB1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77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4827986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534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0A91EB1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611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4221466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611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099A4E9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70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9AEBD5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444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61C39DF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37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4754100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考试</w:t>
            </w:r>
          </w:p>
        </w:tc>
      </w:tr>
      <w:tr w14:paraId="5A3B4C3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1" w:hRule="atLeast"/>
          <w:jc w:val="center"/>
        </w:trPr>
        <w:tc>
          <w:tcPr>
            <w:tcW w:w="1325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 w14:paraId="5886693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bidi="ar"/>
              </w:rPr>
              <w:t>2025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 w:bidi="ar"/>
              </w:rPr>
              <w:t>JGW106</w:t>
            </w:r>
          </w:p>
        </w:tc>
        <w:tc>
          <w:tcPr>
            <w:tcW w:w="2544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215C54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商业分析综合实战</w:t>
            </w:r>
          </w:p>
        </w:tc>
        <w:tc>
          <w:tcPr>
            <w:tcW w:w="4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 w14:paraId="427FC60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77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614CBA4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534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4854ACD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611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797AA57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611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2526AF8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70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8970E7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444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173CD3C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37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1074652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考查</w:t>
            </w:r>
          </w:p>
        </w:tc>
      </w:tr>
      <w:tr w14:paraId="3B40FC9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1" w:hRule="atLeast"/>
          <w:jc w:val="center"/>
        </w:trPr>
        <w:tc>
          <w:tcPr>
            <w:tcW w:w="3869" w:type="dxa"/>
            <w:gridSpan w:val="2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85FC74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4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 w14:paraId="429F1AD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477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4A243E5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240</w:t>
            </w:r>
          </w:p>
        </w:tc>
        <w:tc>
          <w:tcPr>
            <w:tcW w:w="534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4FEC59F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128</w:t>
            </w:r>
          </w:p>
        </w:tc>
        <w:tc>
          <w:tcPr>
            <w:tcW w:w="611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2C39440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112</w:t>
            </w:r>
          </w:p>
        </w:tc>
        <w:tc>
          <w:tcPr>
            <w:tcW w:w="611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53DD1AA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112</w:t>
            </w:r>
          </w:p>
        </w:tc>
        <w:tc>
          <w:tcPr>
            <w:tcW w:w="70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0EBAE6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128</w:t>
            </w:r>
          </w:p>
        </w:tc>
        <w:tc>
          <w:tcPr>
            <w:tcW w:w="1081" w:type="dxa"/>
            <w:gridSpan w:val="2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332E102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</w:p>
        </w:tc>
      </w:tr>
    </w:tbl>
    <w:p w14:paraId="1019A098">
      <w:pPr>
        <w:widowControl/>
        <w:tabs>
          <w:tab w:val="left" w:pos="467"/>
          <w:tab w:val="left" w:pos="2354"/>
          <w:tab w:val="left" w:pos="3227"/>
          <w:tab w:val="left" w:pos="4087"/>
          <w:tab w:val="left" w:pos="4975"/>
          <w:tab w:val="left" w:pos="5476"/>
          <w:tab w:val="left" w:pos="6326"/>
        </w:tabs>
        <w:ind w:left="-108" w:right="-14"/>
        <w:jc w:val="left"/>
        <w:textAlignment w:val="center"/>
        <w:rPr>
          <w:rFonts w:ascii="仿宋" w:hAnsi="仿宋" w:eastAsia="仿宋" w:cs="宋体"/>
          <w:b/>
          <w:bCs/>
          <w:color w:val="000000"/>
          <w:kern w:val="0"/>
          <w:sz w:val="24"/>
          <w:szCs w:val="24"/>
        </w:rPr>
      </w:pPr>
    </w:p>
    <w:p w14:paraId="351D788C">
      <w:pPr>
        <w:widowControl/>
        <w:tabs>
          <w:tab w:val="left" w:pos="467"/>
          <w:tab w:val="left" w:pos="2354"/>
          <w:tab w:val="left" w:pos="3227"/>
          <w:tab w:val="left" w:pos="4087"/>
          <w:tab w:val="left" w:pos="4975"/>
          <w:tab w:val="left" w:pos="5476"/>
          <w:tab w:val="left" w:pos="6326"/>
        </w:tabs>
        <w:ind w:left="-108" w:right="-14"/>
        <w:jc w:val="left"/>
        <w:textAlignment w:val="center"/>
        <w:rPr>
          <w:rFonts w:ascii="仿宋" w:hAnsi="仿宋" w:eastAsia="仿宋" w:cs="宋体"/>
          <w:b/>
          <w:bCs/>
          <w:color w:val="000000"/>
          <w:kern w:val="0"/>
          <w:sz w:val="24"/>
          <w:szCs w:val="24"/>
        </w:rPr>
      </w:pPr>
    </w:p>
    <w:p w14:paraId="28387CD1">
      <w:pPr>
        <w:widowControl/>
        <w:snapToGrid w:val="0"/>
        <w:spacing w:line="360" w:lineRule="auto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24"/>
          <w:szCs w:val="24"/>
        </w:rPr>
        <w:t>四、修读条件</w:t>
      </w:r>
    </w:p>
    <w:p w14:paraId="7F650F02">
      <w:pPr>
        <w:widowControl/>
        <w:snapToGrid w:val="0"/>
        <w:spacing w:line="360" w:lineRule="auto"/>
        <w:ind w:firstLine="480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面向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全校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二年级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以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上本科生招生，且已经修完或在原专业培养方案中有前置课程的学生。学有余力，无违纪记录。</w:t>
      </w:r>
    </w:p>
    <w:p w14:paraId="38EE1A75">
      <w:pPr>
        <w:widowControl/>
        <w:snapToGrid w:val="0"/>
        <w:spacing w:line="360" w:lineRule="auto"/>
        <w:ind w:firstLine="480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前置课程：高等数学、线性代数。</w:t>
      </w:r>
    </w:p>
    <w:p w14:paraId="0B77A0CB">
      <w:pPr>
        <w:widowControl/>
        <w:snapToGrid w:val="0"/>
        <w:spacing w:line="360" w:lineRule="auto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24"/>
          <w:szCs w:val="24"/>
        </w:rPr>
        <w:t>五、应用领域</w:t>
      </w:r>
    </w:p>
    <w:p w14:paraId="2D009E27">
      <w:pPr>
        <w:widowControl/>
        <w:snapToGrid w:val="0"/>
        <w:spacing w:line="360" w:lineRule="auto"/>
        <w:ind w:firstLine="480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本微专业毕业生具备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应用数据分析与商业智能的核心能力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，可在以下领域就业：</w:t>
      </w:r>
    </w:p>
    <w:p w14:paraId="3DED374A">
      <w:pPr>
        <w:widowControl/>
        <w:snapToGrid w:val="0"/>
        <w:spacing w:line="360" w:lineRule="auto"/>
        <w:ind w:firstLine="480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1、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互联网与科技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公司：从事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用户分析、产品运营等工作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。</w:t>
      </w:r>
    </w:p>
    <w:p w14:paraId="275CA44F">
      <w:pPr>
        <w:widowControl/>
        <w:snapToGrid w:val="0"/>
        <w:spacing w:line="360" w:lineRule="auto"/>
        <w:ind w:firstLine="480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2、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金融与咨询服务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公司：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胜任风险管理、量化分析、数据咨询等岗位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。</w:t>
      </w:r>
    </w:p>
    <w:p w14:paraId="3548C5FD">
      <w:pPr>
        <w:widowControl/>
        <w:snapToGrid w:val="0"/>
        <w:spacing w:line="360" w:lineRule="auto"/>
        <w:ind w:firstLine="480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3、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零售与消费品行业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：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参与销售预测、消费者洞察、供应链优化等业务环节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。</w:t>
      </w:r>
    </w:p>
    <w:p w14:paraId="79359158">
      <w:pPr>
        <w:widowControl/>
        <w:snapToGrid w:val="0"/>
        <w:spacing w:line="360" w:lineRule="auto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24"/>
          <w:szCs w:val="24"/>
        </w:rPr>
        <w:t>六、资格证书</w:t>
      </w:r>
    </w:p>
    <w:p w14:paraId="23F8F63E">
      <w:pPr>
        <w:widowControl/>
        <w:snapToGrid w:val="0"/>
        <w:spacing w:line="360" w:lineRule="auto"/>
        <w:ind w:firstLine="480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学生完成本微专业全部课程学习，考核合格后，将获得由本校颁发的“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大数据与商业分析</w:t>
      </w:r>
      <w:r>
        <w:rPr>
          <w:rFonts w:hint="default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”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微专业结业证书。</w:t>
      </w:r>
    </w:p>
    <w:p w14:paraId="29E15A28">
      <w:pPr>
        <w:widowControl/>
        <w:snapToGrid w:val="0"/>
        <w:spacing w:line="360" w:lineRule="auto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24"/>
          <w:szCs w:val="24"/>
        </w:rPr>
        <w:t>七、报名方法及相关说明</w:t>
      </w:r>
    </w:p>
    <w:p w14:paraId="31FBBF4F">
      <w:pPr>
        <w:widowControl/>
        <w:snapToGrid w:val="0"/>
        <w:spacing w:line="360" w:lineRule="auto"/>
        <w:ind w:firstLine="480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1、报名须知</w:t>
      </w:r>
    </w:p>
    <w:p w14:paraId="5A63724F">
      <w:pPr>
        <w:widowControl/>
        <w:snapToGrid w:val="0"/>
        <w:spacing w:line="360" w:lineRule="auto"/>
        <w:ind w:firstLine="480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(1)报名时间：发布之日起即可报名</w:t>
      </w:r>
    </w:p>
    <w:p w14:paraId="5D68DF13">
      <w:pPr>
        <w:widowControl/>
        <w:snapToGrid w:val="0"/>
        <w:spacing w:line="360" w:lineRule="auto"/>
        <w:ind w:firstLine="480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(2)报名方式：下载填写《微专业报名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申请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表》，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申请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表提交至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经管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学院教学办（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号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实验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楼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212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）</w:t>
      </w:r>
    </w:p>
    <w:p w14:paraId="0B7ABD08">
      <w:pPr>
        <w:widowControl/>
        <w:snapToGrid w:val="0"/>
        <w:spacing w:line="360" w:lineRule="auto"/>
        <w:ind w:firstLine="480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2、录取名单将在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经管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学院网站进行公示，以便学生查询</w:t>
      </w:r>
    </w:p>
    <w:p w14:paraId="30F04617">
      <w:pPr>
        <w:widowControl/>
        <w:snapToGrid w:val="0"/>
        <w:spacing w:line="360" w:lineRule="auto"/>
        <w:ind w:firstLine="480"/>
        <w:rPr>
          <w:rFonts w:hint="default" w:ascii="仿宋" w:hAnsi="仿宋" w:eastAsia="仿宋" w:cs="宋体"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3、咨询方式：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经管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学院：1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9086850717陈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老师，QQ群：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587914901</w:t>
      </w:r>
    </w:p>
    <w:p w14:paraId="102CA55B">
      <w:pPr>
        <w:widowControl/>
        <w:snapToGrid w:val="0"/>
        <w:spacing w:line="360" w:lineRule="auto"/>
        <w:ind w:firstLine="480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4、教学安排</w:t>
      </w:r>
    </w:p>
    <w:p w14:paraId="1EFEEBC9">
      <w:pPr>
        <w:widowControl/>
        <w:snapToGrid w:val="0"/>
        <w:spacing w:line="360" w:lineRule="auto"/>
        <w:ind w:firstLine="480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(1)单独编班</w:t>
      </w:r>
    </w:p>
    <w:p w14:paraId="32BBF24A">
      <w:pPr>
        <w:widowControl/>
        <w:snapToGrid w:val="0"/>
        <w:spacing w:line="360" w:lineRule="auto"/>
        <w:ind w:firstLine="480"/>
        <w:rPr>
          <w:rFonts w:hint="eastAsia"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(2)上课形式：线上/线下；周末/周中/寒暑假；具体开课时间另行安排。</w:t>
      </w:r>
    </w:p>
    <w:p w14:paraId="4C0CC5F1">
      <w:pPr>
        <w:widowControl/>
        <w:snapToGrid w:val="0"/>
        <w:spacing w:line="360" w:lineRule="auto"/>
        <w:ind w:firstLine="480"/>
        <w:rPr>
          <w:rFonts w:hint="default" w:ascii="仿宋" w:hAnsi="仿宋" w:eastAsia="仿宋" w:cs="宋体"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5、费用说明：免费学习</w:t>
      </w:r>
    </w:p>
    <w:p w14:paraId="44F7C60F">
      <w:pPr>
        <w:widowControl/>
        <w:snapToGrid w:val="0"/>
        <w:spacing w:line="360" w:lineRule="auto"/>
        <w:ind w:firstLine="480"/>
        <w:rPr>
          <w:rFonts w:hint="eastAsia" w:ascii="仿宋" w:hAnsi="仿宋" w:eastAsia="仿宋" w:cs="宋体"/>
          <w:color w:val="333333"/>
          <w:kern w:val="0"/>
          <w:sz w:val="24"/>
          <w:szCs w:val="24"/>
        </w:rPr>
      </w:pPr>
    </w:p>
    <w:p w14:paraId="46B6169A">
      <w:pPr>
        <w:widowControl/>
        <w:snapToGrid w:val="0"/>
        <w:spacing w:line="360" w:lineRule="auto"/>
        <w:ind w:firstLine="480"/>
        <w:rPr>
          <w:rFonts w:hint="eastAsia" w:ascii="仿宋" w:hAnsi="仿宋" w:eastAsia="仿宋" w:cs="宋体"/>
          <w:color w:val="333333"/>
          <w:kern w:val="0"/>
          <w:sz w:val="24"/>
          <w:szCs w:val="24"/>
        </w:rPr>
      </w:pPr>
    </w:p>
    <w:p w14:paraId="66815E70">
      <w:pPr>
        <w:widowControl/>
        <w:snapToGrid w:val="0"/>
        <w:spacing w:line="360" w:lineRule="auto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24"/>
          <w:szCs w:val="24"/>
        </w:rPr>
        <w:t>八、课程简介</w:t>
      </w:r>
    </w:p>
    <w:p w14:paraId="02BBE687">
      <w:pPr>
        <w:widowControl/>
        <w:snapToGrid w:val="0"/>
        <w:spacing w:line="360" w:lineRule="auto"/>
        <w:ind w:left="425" w:leftChars="31" w:hanging="360"/>
        <w:rPr>
          <w:rFonts w:ascii="仿宋" w:hAnsi="仿宋" w:eastAsia="仿宋" w:cs="宋体"/>
          <w:b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b/>
          <w:color w:val="333333"/>
          <w:kern w:val="0"/>
          <w:sz w:val="24"/>
          <w:szCs w:val="24"/>
        </w:rPr>
        <w:t>1.《Python数据处理基础》</w:t>
      </w:r>
    </w:p>
    <w:p w14:paraId="34B94D26">
      <w:pPr>
        <w:widowControl/>
        <w:snapToGrid w:val="0"/>
        <w:spacing w:line="360" w:lineRule="auto"/>
        <w:ind w:left="65" w:leftChars="31" w:firstLine="480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课程内容：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教授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学生使用Python完成数据获取、清洗、转换与探索性分析的全流程技能，为后续统计建模与机器学习准备好高质量、规整的数据集。教学以商业案例驱动，注重培养规范的数据处理思维与可复现的实操能力。《Python数据处理基础》是本微专业的核心工具课。</w:t>
      </w:r>
    </w:p>
    <w:p w14:paraId="5D353AF8">
      <w:pPr>
        <w:widowControl/>
        <w:snapToGrid w:val="0"/>
        <w:spacing w:line="360" w:lineRule="auto"/>
        <w:ind w:left="425" w:leftChars="31" w:hanging="360"/>
        <w:rPr>
          <w:rFonts w:ascii="仿宋" w:hAnsi="仿宋" w:eastAsia="仿宋" w:cs="宋体"/>
          <w:b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b/>
          <w:color w:val="333333"/>
          <w:kern w:val="0"/>
          <w:sz w:val="24"/>
          <w:szCs w:val="24"/>
        </w:rPr>
        <w:t>2.《</w:t>
      </w:r>
      <w:r>
        <w:rPr>
          <w:rFonts w:hint="eastAsia" w:ascii="仿宋" w:hAnsi="仿宋" w:eastAsia="仿宋" w:cs="宋体"/>
          <w:b/>
          <w:color w:val="333333"/>
          <w:kern w:val="0"/>
          <w:sz w:val="24"/>
          <w:szCs w:val="24"/>
          <w:lang w:val="en-US" w:eastAsia="zh-CN"/>
        </w:rPr>
        <w:t>商业数据统计分析</w:t>
      </w:r>
      <w:r>
        <w:rPr>
          <w:rFonts w:hint="eastAsia" w:ascii="仿宋" w:hAnsi="仿宋" w:eastAsia="仿宋" w:cs="宋体"/>
          <w:b/>
          <w:color w:val="333333"/>
          <w:kern w:val="0"/>
          <w:sz w:val="24"/>
          <w:szCs w:val="24"/>
        </w:rPr>
        <w:t>》</w:t>
      </w:r>
    </w:p>
    <w:p w14:paraId="58746B3A">
      <w:pPr>
        <w:widowControl/>
        <w:snapToGrid w:val="0"/>
        <w:spacing w:line="360" w:lineRule="auto"/>
        <w:ind w:left="65" w:leftChars="31" w:firstLine="480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课程内容：系统讲授描述统计、推断统计、回归分析及A/B测试等核心方法，重点培养学生运用统计思维科学地分析商业数据、验证商业假设并支撑决策的能力。课程强调统计原理在营销、金融、运营等真实商业场景中的应用与解读。《商业数据统计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分析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》是本微专业的理论核心课。</w:t>
      </w:r>
    </w:p>
    <w:p w14:paraId="6E06F07B">
      <w:pPr>
        <w:widowControl/>
        <w:snapToGrid w:val="0"/>
        <w:spacing w:line="360" w:lineRule="auto"/>
        <w:ind w:left="425" w:leftChars="31" w:hanging="360"/>
        <w:rPr>
          <w:rFonts w:ascii="仿宋" w:hAnsi="仿宋" w:eastAsia="仿宋" w:cs="宋体"/>
          <w:b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b/>
          <w:color w:val="333333"/>
          <w:kern w:val="0"/>
          <w:sz w:val="24"/>
          <w:szCs w:val="24"/>
        </w:rPr>
        <w:t>3.《</w:t>
      </w:r>
      <w:r>
        <w:rPr>
          <w:rFonts w:hint="eastAsia" w:ascii="仿宋" w:hAnsi="仿宋" w:eastAsia="仿宋" w:cs="宋体"/>
          <w:b/>
          <w:color w:val="333333"/>
          <w:kern w:val="0"/>
          <w:sz w:val="24"/>
          <w:szCs w:val="24"/>
          <w:lang w:val="en-US" w:eastAsia="zh-CN"/>
        </w:rPr>
        <w:t>数据可视化与商业洞察</w:t>
      </w:r>
      <w:r>
        <w:rPr>
          <w:rFonts w:hint="eastAsia" w:ascii="仿宋" w:hAnsi="仿宋" w:eastAsia="仿宋" w:cs="宋体"/>
          <w:b/>
          <w:color w:val="333333"/>
          <w:kern w:val="0"/>
          <w:sz w:val="24"/>
          <w:szCs w:val="24"/>
        </w:rPr>
        <w:t>》</w:t>
      </w:r>
    </w:p>
    <w:p w14:paraId="70147464">
      <w:pPr>
        <w:widowControl/>
        <w:snapToGrid w:val="0"/>
        <w:spacing w:line="360" w:lineRule="auto"/>
        <w:ind w:left="65" w:leftChars="31" w:firstLine="480"/>
        <w:rPr>
          <w:rFonts w:hint="eastAsia"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课程内容：教授可视化设计原理与Tableau等主流工具，培养学生将复杂数据转化为直观图表与交互式仪表盘的能力，从而有效发现数据中的商业规律，并清晰、有说服力地向决策者传递关键洞察，架起数据与商业决策之间的桥梁。</w:t>
      </w:r>
    </w:p>
    <w:p w14:paraId="3EA2F9CA">
      <w:pPr>
        <w:widowControl/>
        <w:numPr>
          <w:ilvl w:val="0"/>
          <w:numId w:val="1"/>
        </w:numPr>
        <w:snapToGrid w:val="0"/>
        <w:spacing w:line="360" w:lineRule="auto"/>
        <w:rPr>
          <w:rFonts w:hint="eastAsia" w:ascii="仿宋" w:hAnsi="仿宋" w:eastAsia="仿宋" w:cs="宋体"/>
          <w:b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宋体"/>
          <w:b/>
          <w:color w:val="333333"/>
          <w:kern w:val="0"/>
          <w:sz w:val="24"/>
          <w:szCs w:val="24"/>
          <w:lang w:val="en-US" w:eastAsia="zh-CN"/>
        </w:rPr>
        <w:t>《商业预测与机器学习》</w:t>
      </w:r>
    </w:p>
    <w:p w14:paraId="15BBFC97">
      <w:pPr>
        <w:widowControl/>
        <w:numPr>
          <w:ilvl w:val="0"/>
          <w:numId w:val="0"/>
        </w:numPr>
        <w:snapToGrid w:val="0"/>
        <w:spacing w:line="360" w:lineRule="auto"/>
        <w:ind w:firstLine="480" w:firstLineChars="200"/>
        <w:rPr>
          <w:rFonts w:hint="default" w:ascii="仿宋" w:hAnsi="仿宋" w:eastAsia="仿宋" w:cs="宋体"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课程内容：系统讲授机器学习核心算法的基本原理与商业逻辑，并指导学生运用Python及主流工具库进行实战建模。重点培养学生针对销量预测、客户分群、信用评估等典型商业场景，构建、评估与优化预测模型的能力。</w:t>
      </w:r>
    </w:p>
    <w:p w14:paraId="1C6BA89B">
      <w:pPr>
        <w:widowControl/>
        <w:numPr>
          <w:ilvl w:val="0"/>
          <w:numId w:val="1"/>
        </w:numPr>
        <w:snapToGrid w:val="0"/>
        <w:spacing w:line="360" w:lineRule="auto"/>
        <w:rPr>
          <w:rFonts w:hint="default" w:ascii="仿宋" w:hAnsi="仿宋" w:eastAsia="仿宋" w:cs="宋体"/>
          <w:b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宋体"/>
          <w:b/>
          <w:color w:val="333333"/>
          <w:kern w:val="0"/>
          <w:sz w:val="24"/>
          <w:szCs w:val="24"/>
          <w:lang w:val="en-US" w:eastAsia="zh-CN"/>
        </w:rPr>
        <w:t>《文本挖掘与用户分析》</w:t>
      </w:r>
    </w:p>
    <w:p w14:paraId="5BF5E3EC">
      <w:pPr>
        <w:widowControl/>
        <w:numPr>
          <w:ilvl w:val="0"/>
          <w:numId w:val="0"/>
        </w:numPr>
        <w:snapToGrid w:val="0"/>
        <w:spacing w:line="360" w:lineRule="auto"/>
        <w:ind w:firstLine="480" w:firstLineChars="200"/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课程内容：聚焦于处理和分析非结构化文本数据（如用户评论和社交媒体内容），教授学生运用情感分析、主题建模等核心技术，从而从海量文本中自动提取关键主题、挖掘用户情感和潜在需求。本课程旨在培养学生从文本数据中提炼商业洞察的能力，为舆情分析、产品优化和精准营销等提供核心的数据支持。</w:t>
      </w:r>
    </w:p>
    <w:p w14:paraId="255EB99D">
      <w:pPr>
        <w:widowControl/>
        <w:numPr>
          <w:ilvl w:val="0"/>
          <w:numId w:val="1"/>
        </w:numPr>
        <w:snapToGrid w:val="0"/>
        <w:spacing w:line="360" w:lineRule="auto"/>
        <w:ind w:left="0" w:leftChars="0" w:firstLine="0" w:firstLineChars="0"/>
        <w:rPr>
          <w:rFonts w:hint="eastAsia" w:ascii="仿宋" w:hAnsi="仿宋" w:eastAsia="仿宋" w:cs="宋体"/>
          <w:b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宋体"/>
          <w:b/>
          <w:color w:val="333333"/>
          <w:kern w:val="0"/>
          <w:sz w:val="24"/>
          <w:szCs w:val="24"/>
          <w:lang w:val="en-US" w:eastAsia="zh-CN"/>
        </w:rPr>
        <w:t>《商业分析综合实战》</w:t>
      </w:r>
    </w:p>
    <w:p w14:paraId="4E99FF50">
      <w:pPr>
        <w:widowControl/>
        <w:numPr>
          <w:ilvl w:val="0"/>
          <w:numId w:val="0"/>
        </w:numPr>
        <w:snapToGrid w:val="0"/>
        <w:spacing w:line="360" w:lineRule="auto"/>
        <w:ind w:leftChars="0" w:firstLine="480" w:firstLineChars="200"/>
        <w:rPr>
          <w:rFonts w:hint="default" w:ascii="仿宋" w:hAnsi="仿宋" w:eastAsia="仿宋" w:cs="宋体"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课程内容：以团队项目形式，模拟真实商业环境，指导学生从定义分析问题开始，贯穿数据获取、清洗、建模到可视化呈现的完整流程。最终通过项目报告与专业答辩，全面考核并整合运用微专业全部核心技能，培养解决复杂商业问题的综合能力与职业素养。</w:t>
      </w:r>
    </w:p>
    <w:p w14:paraId="7FB7385E">
      <w:pPr>
        <w:snapToGrid w:val="0"/>
        <w:spacing w:line="360" w:lineRule="auto"/>
        <w:rPr>
          <w:rFonts w:ascii="仿宋" w:hAnsi="仿宋" w:eastAsia="仿宋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17F76C"/>
    <w:multiLevelType w:val="singleLevel"/>
    <w:tmpl w:val="1D17F76C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93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1768</Words>
  <Characters>1938</Characters>
  <Lines>9</Lines>
  <Paragraphs>2</Paragraphs>
  <TotalTime>0</TotalTime>
  <ScaleCrop>false</ScaleCrop>
  <LinksUpToDate>false</LinksUpToDate>
  <CharactersWithSpaces>1939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2025-11-28T13:49:00Z</dcterms:created>
  <dc:creator>江上飞</dc:creator>
  <cp:lastModifiedBy>Butterfly</cp:lastModifiedBy>
  <dcterms:modified xsi:type="dcterms:W3CDTF">2026-04-24T06:11:35Z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eyJoZGlkIjoiMzk3YmUwN2EyOWU0YWE4Njg2ZjY1ZTY2NzQ3NjE5NWMiLCJ1c2VySWQiOiI3OTgwNzQxNTMifQ==</vt:lpwstr>
  </property>
  <property fmtid="{D5CDD505-2E9C-101B-9397-08002B2CF9AE}" pid="3" name="KSOProductBuildVer">
    <vt:lpwstr>2052-12.1.0.25865</vt:lpwstr>
  </property>
  <property fmtid="{D5CDD505-2E9C-101B-9397-08002B2CF9AE}" pid="4" name="ICV">
    <vt:lpwstr>1BB933DB78BE44719D463CB8591F5857_13</vt:lpwstr>
  </property>
</Properties>
</file>