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 w:hAnsi="仿宋" w:eastAsia="仿宋" w:cs="宋体"/>
          <w:color w:val="333333"/>
          <w:kern w:val="0"/>
          <w:sz w:val="32"/>
          <w:szCs w:val="24"/>
        </w:rPr>
      </w:pPr>
      <w:r>
        <w:rPr>
          <w:rFonts w:hint="eastAsia" w:ascii="仿宋" w:hAnsi="仿宋" w:eastAsia="仿宋" w:cs="宋体"/>
          <w:b/>
          <w:bCs/>
          <w:color w:val="333333"/>
          <w:kern w:val="0"/>
          <w:sz w:val="32"/>
          <w:szCs w:val="24"/>
        </w:rPr>
        <w:t xml:space="preserve"> “</w:t>
      </w:r>
      <w:r>
        <w:rPr>
          <w:rFonts w:hint="eastAsia" w:ascii="仿宋" w:hAnsi="仿宋" w:eastAsia="仿宋" w:cs="仿宋"/>
          <w:b/>
          <w:bCs/>
          <w:sz w:val="32"/>
          <w:szCs w:val="32"/>
          <w:lang w:val="en-US" w:eastAsia="zh-CN"/>
        </w:rPr>
        <w:t>大学英语素质与能力拓展</w:t>
      </w:r>
      <w:r>
        <w:rPr>
          <w:rFonts w:hint="eastAsia" w:ascii="仿宋" w:hAnsi="仿宋" w:eastAsia="仿宋" w:cs="宋体"/>
          <w:b/>
          <w:bCs/>
          <w:color w:val="333333"/>
          <w:kern w:val="0"/>
          <w:sz w:val="32"/>
          <w:szCs w:val="24"/>
        </w:rPr>
        <w:t>”微专业</w:t>
      </w:r>
      <w:r>
        <w:rPr>
          <w:rFonts w:ascii="仿宋" w:hAnsi="仿宋" w:eastAsia="仿宋" w:cs="宋体"/>
          <w:b/>
          <w:bCs/>
          <w:color w:val="333333"/>
          <w:kern w:val="0"/>
          <w:sz w:val="32"/>
          <w:szCs w:val="24"/>
        </w:rPr>
        <w:br w:type="textWrapping"/>
      </w:r>
      <w:r>
        <w:rPr>
          <w:rFonts w:hint="eastAsia" w:ascii="仿宋" w:hAnsi="仿宋" w:eastAsia="仿宋" w:cs="宋体"/>
          <w:b/>
          <w:bCs/>
          <w:color w:val="333333"/>
          <w:kern w:val="0"/>
          <w:sz w:val="32"/>
          <w:szCs w:val="24"/>
        </w:rPr>
        <w:t>招生简章</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一、专业简介</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lang w:eastAsia="zh-CN"/>
        </w:rPr>
        <w:t>本微专业总学分</w:t>
      </w:r>
      <w:r>
        <w:rPr>
          <w:rFonts w:hint="eastAsia" w:ascii="仿宋" w:hAnsi="仿宋" w:eastAsia="仿宋" w:cs="宋体"/>
          <w:color w:val="333333"/>
          <w:kern w:val="0"/>
          <w:sz w:val="24"/>
          <w:szCs w:val="24"/>
          <w:lang w:val="en-US" w:eastAsia="zh-CN"/>
        </w:rPr>
        <w:t>为</w:t>
      </w:r>
      <w:r>
        <w:rPr>
          <w:rFonts w:hint="eastAsia" w:ascii="仿宋" w:hAnsi="仿宋" w:eastAsia="仿宋" w:cs="宋体"/>
          <w:color w:val="333333"/>
          <w:kern w:val="0"/>
          <w:sz w:val="24"/>
          <w:szCs w:val="24"/>
          <w:lang w:val="en-US"/>
        </w:rPr>
        <w:t>1</w:t>
      </w:r>
      <w:r>
        <w:rPr>
          <w:rFonts w:hint="eastAsia" w:ascii="仿宋" w:hAnsi="仿宋" w:eastAsia="仿宋" w:cs="宋体"/>
          <w:color w:val="333333"/>
          <w:kern w:val="0"/>
          <w:sz w:val="24"/>
          <w:szCs w:val="24"/>
          <w:lang w:val="en-US" w:eastAsia="zh-CN"/>
        </w:rPr>
        <w:t>1</w:t>
      </w:r>
      <w:r>
        <w:rPr>
          <w:rFonts w:hint="eastAsia" w:ascii="仿宋" w:hAnsi="仿宋" w:eastAsia="仿宋" w:cs="宋体"/>
          <w:color w:val="333333"/>
          <w:kern w:val="0"/>
          <w:sz w:val="24"/>
          <w:szCs w:val="24"/>
          <w:lang w:eastAsia="zh-CN"/>
        </w:rPr>
        <w:t>学分，核心课程</w:t>
      </w:r>
      <w:r>
        <w:rPr>
          <w:rFonts w:hint="eastAsia" w:ascii="仿宋" w:hAnsi="仿宋" w:eastAsia="仿宋" w:cs="宋体"/>
          <w:color w:val="333333"/>
          <w:kern w:val="0"/>
          <w:sz w:val="24"/>
          <w:szCs w:val="24"/>
          <w:lang w:val="en-US" w:eastAsia="zh-CN"/>
        </w:rPr>
        <w:t>5</w:t>
      </w:r>
      <w:r>
        <w:rPr>
          <w:rFonts w:hint="eastAsia" w:ascii="仿宋" w:hAnsi="仿宋" w:eastAsia="仿宋" w:cs="宋体"/>
          <w:color w:val="333333"/>
          <w:kern w:val="0"/>
          <w:sz w:val="24"/>
          <w:szCs w:val="24"/>
          <w:lang w:eastAsia="zh-CN"/>
        </w:rPr>
        <w:t>门，由外国语学院倾力打造，专为全校非英语专业</w:t>
      </w:r>
      <w:r>
        <w:rPr>
          <w:rFonts w:hint="eastAsia" w:ascii="仿宋" w:hAnsi="仿宋" w:eastAsia="仿宋" w:cs="宋体"/>
          <w:color w:val="333333"/>
          <w:kern w:val="0"/>
          <w:sz w:val="24"/>
          <w:szCs w:val="24"/>
          <w:lang w:val="en-US" w:eastAsia="zh-CN"/>
        </w:rPr>
        <w:t>大二至大三本科</w:t>
      </w:r>
      <w:r>
        <w:rPr>
          <w:rFonts w:hint="eastAsia" w:ascii="仿宋" w:hAnsi="仿宋" w:eastAsia="仿宋" w:cs="宋体"/>
          <w:color w:val="333333"/>
          <w:kern w:val="0"/>
          <w:sz w:val="24"/>
          <w:szCs w:val="24"/>
          <w:lang w:eastAsia="zh-CN"/>
        </w:rPr>
        <w:t>学子量身定制。旨在全面强化学生的英语阅读、写作及翻译</w:t>
      </w:r>
      <w:r>
        <w:rPr>
          <w:rFonts w:hint="eastAsia" w:ascii="仿宋" w:hAnsi="仿宋" w:eastAsia="仿宋" w:cs="宋体"/>
          <w:color w:val="333333"/>
          <w:kern w:val="0"/>
          <w:sz w:val="24"/>
          <w:szCs w:val="24"/>
          <w:lang w:val="en-US" w:eastAsia="zh-CN"/>
        </w:rPr>
        <w:t>基本</w:t>
      </w:r>
      <w:r>
        <w:rPr>
          <w:rFonts w:hint="eastAsia" w:ascii="仿宋" w:hAnsi="仿宋" w:eastAsia="仿宋" w:cs="宋体"/>
          <w:color w:val="333333"/>
          <w:kern w:val="0"/>
          <w:sz w:val="24"/>
          <w:szCs w:val="24"/>
          <w:lang w:eastAsia="zh-CN"/>
        </w:rPr>
        <w:t>技能，</w:t>
      </w:r>
      <w:r>
        <w:rPr>
          <w:rFonts w:hint="eastAsia" w:ascii="仿宋" w:hAnsi="仿宋" w:eastAsia="仿宋" w:cs="宋体"/>
          <w:color w:val="333333"/>
          <w:kern w:val="0"/>
          <w:sz w:val="24"/>
          <w:szCs w:val="24"/>
          <w:lang w:val="en-US" w:eastAsia="zh-CN"/>
        </w:rPr>
        <w:t>提升学生跨文化交际能力，</w:t>
      </w:r>
      <w:r>
        <w:rPr>
          <w:rFonts w:hint="eastAsia" w:ascii="仿宋" w:hAnsi="仿宋" w:eastAsia="仿宋" w:cs="宋体"/>
          <w:color w:val="333333"/>
          <w:kern w:val="0"/>
          <w:sz w:val="24"/>
          <w:szCs w:val="24"/>
          <w:lang w:eastAsia="zh-CN"/>
        </w:rPr>
        <w:t>深化英语知识体系，为学生在英语等级考试、研究生入学考试、海外留学及职场沟通中增添强劲竞争力。我们拥有一支实力非凡的师资队伍，成员不仅教学经验丰富，且多数具备海外深造背景及重要</w:t>
      </w:r>
      <w:r>
        <w:rPr>
          <w:rFonts w:hint="eastAsia" w:ascii="仿宋" w:hAnsi="仿宋" w:eastAsia="仿宋" w:cs="宋体"/>
          <w:color w:val="333333"/>
          <w:kern w:val="0"/>
          <w:sz w:val="24"/>
          <w:szCs w:val="24"/>
          <w:lang w:val="en-US" w:eastAsia="zh-CN"/>
        </w:rPr>
        <w:t>英语考试实战经验，辅之以AI技术、智慧教室及超星线上教学平台等能够更好地为学子打造卓越的英语学习平台。</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二、培养目标</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本专业</w:t>
      </w:r>
      <w:r>
        <w:rPr>
          <w:rFonts w:hint="eastAsia" w:ascii="仿宋" w:hAnsi="仿宋" w:eastAsia="仿宋" w:cs="宋体"/>
          <w:color w:val="333333"/>
          <w:kern w:val="0"/>
          <w:sz w:val="24"/>
          <w:szCs w:val="24"/>
          <w:lang w:val="en-US" w:eastAsia="zh-CN"/>
        </w:rPr>
        <w:t>聚焦通用、实用、考试及日常英语能力全面发展，通过一年培养，使学生具备五大核心英语能力：一是巩固基础语法知识，从而强化英语语言知识体系；二是提高高效阅读能力，能够读懂日常生活场景、通用办公及学术类等英文材料；三是强化精准翻译能力，完成日常及基础文本互译；四是提升实用写作能力，完成邮件、通知、提议等基础英文文书；五是提升跨文化交际能力，可实现日常英文交际、通用职场对话，从而全面提升学生英语综合应用水平，适配多场景英语使用需求。</w:t>
      </w:r>
    </w:p>
    <w:p>
      <w:pPr>
        <w:widowControl/>
        <w:spacing w:after="240"/>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三、课程设置</w:t>
      </w:r>
    </w:p>
    <w:tbl>
      <w:tblPr>
        <w:tblStyle w:val="4"/>
        <w:tblW w:w="493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1446"/>
        <w:gridCol w:w="2154"/>
        <w:gridCol w:w="505"/>
        <w:gridCol w:w="505"/>
        <w:gridCol w:w="613"/>
        <w:gridCol w:w="613"/>
        <w:gridCol w:w="613"/>
        <w:gridCol w:w="616"/>
        <w:gridCol w:w="620"/>
        <w:gridCol w:w="6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46" w:hRule="atLeast"/>
          <w:jc w:val="center"/>
        </w:trPr>
        <w:tc>
          <w:tcPr>
            <w:tcW w:w="870" w:type="pct"/>
            <w:vMerge w:val="restart"/>
            <w:vAlign w:val="center"/>
          </w:tcPr>
          <w:p>
            <w:pPr>
              <w:widowControl/>
              <w:adjustRightInd w:val="0"/>
              <w:snapToGrid w:val="0"/>
              <w:jc w:val="center"/>
              <w:textAlignment w:val="center"/>
              <w:rPr>
                <w:rFonts w:ascii="仿宋" w:hAnsi="仿宋" w:eastAsia="仿宋" w:cs="Times New Roman"/>
                <w:b/>
                <w:kern w:val="0"/>
                <w:sz w:val="24"/>
                <w:szCs w:val="24"/>
                <w:lang w:bidi="ar"/>
              </w:rPr>
            </w:pPr>
            <w:r>
              <w:rPr>
                <w:rFonts w:hint="eastAsia" w:ascii="仿宋" w:hAnsi="仿宋" w:eastAsia="仿宋" w:cs="宋体"/>
                <w:b/>
                <w:bCs/>
                <w:color w:val="000000"/>
                <w:kern w:val="0"/>
                <w:sz w:val="24"/>
                <w:szCs w:val="24"/>
                <w:lang w:bidi="ar"/>
              </w:rPr>
              <w:t>课程编号</w:t>
            </w:r>
          </w:p>
        </w:tc>
        <w:tc>
          <w:tcPr>
            <w:tcW w:w="1296" w:type="pct"/>
            <w:vMerge w:val="restart"/>
            <w:tcBorders>
              <w:right w:val="single" w:color="auto" w:sz="8" w:space="0"/>
            </w:tcBorders>
            <w:shd w:val="clear" w:color="auto" w:fill="auto"/>
            <w:vAlign w:val="center"/>
          </w:tcPr>
          <w:p>
            <w:pPr>
              <w:widowControl/>
              <w:adjustRightInd w:val="0"/>
              <w:snapToGrid w:val="0"/>
              <w:jc w:val="center"/>
              <w:textAlignment w:val="center"/>
              <w:rPr>
                <w:rFonts w:ascii="仿宋" w:hAnsi="仿宋" w:eastAsia="仿宋" w:cs="Times New Roman"/>
                <w:b/>
                <w:sz w:val="24"/>
                <w:szCs w:val="24"/>
              </w:rPr>
            </w:pPr>
            <w:r>
              <w:rPr>
                <w:rFonts w:hint="eastAsia" w:ascii="仿宋" w:hAnsi="仿宋" w:eastAsia="仿宋" w:cs="宋体"/>
                <w:b/>
                <w:bCs/>
                <w:color w:val="000000"/>
                <w:kern w:val="0"/>
                <w:sz w:val="24"/>
                <w:szCs w:val="24"/>
                <w:lang w:bidi="ar"/>
              </w:rPr>
              <w:t>课程名称</w:t>
            </w:r>
          </w:p>
        </w:tc>
        <w:tc>
          <w:tcPr>
            <w:tcW w:w="303" w:type="pct"/>
            <w:vMerge w:val="restart"/>
            <w:tcBorders>
              <w:top w:val="single" w:color="auto" w:sz="8" w:space="0"/>
              <w:left w:val="single" w:color="auto" w:sz="8" w:space="0"/>
              <w:bottom w:val="single" w:color="auto" w:sz="4" w:space="0"/>
            </w:tcBorders>
            <w:vAlign w:val="center"/>
          </w:tcPr>
          <w:p>
            <w:pPr>
              <w:adjustRightInd w:val="0"/>
              <w:snapToGrid w:val="0"/>
              <w:jc w:val="center"/>
              <w:textAlignment w:val="center"/>
              <w:rPr>
                <w:rFonts w:ascii="仿宋" w:hAnsi="仿宋" w:eastAsia="仿宋" w:cs="Times New Roman"/>
                <w:b/>
                <w:sz w:val="24"/>
                <w:szCs w:val="24"/>
              </w:rPr>
            </w:pPr>
            <w:r>
              <w:rPr>
                <w:rFonts w:hint="eastAsia" w:ascii="仿宋" w:hAnsi="仿宋" w:eastAsia="仿宋" w:cs="宋体"/>
                <w:b/>
                <w:bCs/>
                <w:color w:val="000000"/>
                <w:kern w:val="0"/>
                <w:sz w:val="24"/>
                <w:szCs w:val="24"/>
                <w:lang w:bidi="ar"/>
              </w:rPr>
              <w:t>总学分</w:t>
            </w:r>
          </w:p>
        </w:tc>
        <w:tc>
          <w:tcPr>
            <w:tcW w:w="303" w:type="pct"/>
            <w:vMerge w:val="restart"/>
            <w:tcBorders>
              <w:top w:val="single" w:color="auto" w:sz="8" w:space="0"/>
              <w:bottom w:val="single" w:color="auto" w:sz="4" w:space="0"/>
            </w:tcBorders>
            <w:shd w:val="clear" w:color="auto" w:fill="auto"/>
            <w:vAlign w:val="center"/>
          </w:tcPr>
          <w:p>
            <w:pPr>
              <w:adjustRightInd w:val="0"/>
              <w:snapToGrid w:val="0"/>
              <w:jc w:val="center"/>
              <w:textAlignment w:val="center"/>
              <w:rPr>
                <w:rFonts w:ascii="仿宋" w:hAnsi="仿宋" w:eastAsia="仿宋" w:cs="Times New Roman"/>
                <w:b/>
                <w:sz w:val="24"/>
                <w:szCs w:val="24"/>
              </w:rPr>
            </w:pPr>
            <w:r>
              <w:rPr>
                <w:rFonts w:hint="eastAsia" w:ascii="仿宋" w:hAnsi="仿宋" w:eastAsia="仿宋" w:cs="宋体"/>
                <w:b/>
                <w:bCs/>
                <w:color w:val="000000"/>
                <w:kern w:val="0"/>
                <w:sz w:val="24"/>
                <w:szCs w:val="24"/>
                <w:lang w:bidi="ar"/>
              </w:rPr>
              <w:t>总学时</w:t>
            </w:r>
          </w:p>
        </w:tc>
        <w:tc>
          <w:tcPr>
            <w:tcW w:w="1477" w:type="pct"/>
            <w:gridSpan w:val="4"/>
            <w:tcBorders>
              <w:top w:val="single" w:color="auto" w:sz="8" w:space="0"/>
              <w:bottom w:val="single" w:color="auto" w:sz="4" w:space="0"/>
              <w:right w:val="single" w:color="auto" w:sz="8" w:space="0"/>
            </w:tcBorders>
            <w:shd w:val="clear" w:color="auto" w:fill="auto"/>
            <w:vAlign w:val="center"/>
          </w:tcPr>
          <w:p>
            <w:pPr>
              <w:widowControl/>
              <w:adjustRightInd w:val="0"/>
              <w:snapToGrid w:val="0"/>
              <w:jc w:val="center"/>
              <w:textAlignment w:val="center"/>
              <w:rPr>
                <w:rFonts w:ascii="仿宋" w:hAnsi="仿宋" w:eastAsia="仿宋" w:cs="Times New Roman"/>
                <w:b/>
                <w:sz w:val="24"/>
                <w:szCs w:val="24"/>
              </w:rPr>
            </w:pPr>
            <w:r>
              <w:rPr>
                <w:rFonts w:ascii="仿宋" w:hAnsi="仿宋" w:eastAsia="仿宋" w:cs="Times New Roman"/>
                <w:b/>
                <w:sz w:val="24"/>
                <w:szCs w:val="24"/>
              </w:rPr>
              <w:t>学时分配</w:t>
            </w:r>
          </w:p>
        </w:tc>
        <w:tc>
          <w:tcPr>
            <w:tcW w:w="373" w:type="pct"/>
            <w:vMerge w:val="restart"/>
            <w:shd w:val="clear" w:color="auto" w:fill="auto"/>
            <w:vAlign w:val="center"/>
          </w:tcPr>
          <w:p>
            <w:pPr>
              <w:adjustRightInd w:val="0"/>
              <w:snapToGrid w:val="0"/>
              <w:jc w:val="center"/>
              <w:textAlignment w:val="center"/>
              <w:rPr>
                <w:rFonts w:ascii="仿宋" w:hAnsi="仿宋" w:eastAsia="仿宋" w:cs="Times New Roman"/>
                <w:b/>
                <w:sz w:val="24"/>
                <w:szCs w:val="24"/>
              </w:rPr>
            </w:pPr>
            <w:r>
              <w:rPr>
                <w:rFonts w:hint="eastAsia" w:ascii="仿宋" w:hAnsi="仿宋" w:eastAsia="仿宋" w:cs="宋体"/>
                <w:b/>
                <w:bCs/>
                <w:color w:val="000000"/>
                <w:kern w:val="0"/>
                <w:sz w:val="24"/>
                <w:szCs w:val="24"/>
                <w:lang w:bidi="ar"/>
              </w:rPr>
              <w:t>开课学期</w:t>
            </w:r>
          </w:p>
        </w:tc>
        <w:tc>
          <w:tcPr>
            <w:tcW w:w="373" w:type="pct"/>
            <w:vMerge w:val="restart"/>
            <w:shd w:val="clear" w:color="auto" w:fill="auto"/>
            <w:vAlign w:val="center"/>
          </w:tcPr>
          <w:p>
            <w:pPr>
              <w:adjustRightInd w:val="0"/>
              <w:snapToGrid w:val="0"/>
              <w:jc w:val="center"/>
              <w:textAlignment w:val="center"/>
              <w:rPr>
                <w:rFonts w:ascii="仿宋" w:hAnsi="仿宋" w:eastAsia="仿宋" w:cs="Times New Roman"/>
                <w:b/>
                <w:sz w:val="24"/>
                <w:szCs w:val="24"/>
              </w:rPr>
            </w:pPr>
            <w:r>
              <w:rPr>
                <w:rFonts w:hint="eastAsia" w:ascii="仿宋" w:hAnsi="仿宋" w:eastAsia="仿宋" w:cs="宋体"/>
                <w:b/>
                <w:bCs/>
                <w:color w:val="000000"/>
                <w:kern w:val="0"/>
                <w:sz w:val="24"/>
                <w:szCs w:val="24"/>
                <w:lang w:bidi="ar"/>
              </w:rPr>
              <w:t>考核方式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78" w:hRule="atLeast"/>
          <w:jc w:val="center"/>
        </w:trPr>
        <w:tc>
          <w:tcPr>
            <w:tcW w:w="870" w:type="pct"/>
            <w:vMerge w:val="continue"/>
            <w:tcBorders>
              <w:bottom w:val="single" w:color="auto" w:sz="8" w:space="0"/>
            </w:tcBorders>
            <w:vAlign w:val="center"/>
          </w:tcPr>
          <w:p>
            <w:pPr>
              <w:widowControl/>
              <w:adjustRightInd w:val="0"/>
              <w:snapToGrid w:val="0"/>
              <w:jc w:val="center"/>
              <w:textAlignment w:val="center"/>
              <w:rPr>
                <w:rFonts w:ascii="仿宋" w:hAnsi="仿宋" w:eastAsia="仿宋" w:cs="宋体"/>
                <w:b/>
                <w:bCs/>
                <w:color w:val="000000"/>
                <w:kern w:val="0"/>
                <w:sz w:val="24"/>
                <w:szCs w:val="24"/>
                <w:lang w:bidi="ar"/>
              </w:rPr>
            </w:pPr>
          </w:p>
        </w:tc>
        <w:tc>
          <w:tcPr>
            <w:tcW w:w="1296" w:type="pct"/>
            <w:vMerge w:val="continue"/>
            <w:tcBorders>
              <w:bottom w:val="single" w:color="auto" w:sz="8" w:space="0"/>
              <w:right w:val="single" w:color="auto" w:sz="8" w:space="0"/>
            </w:tcBorders>
            <w:shd w:val="clear" w:color="auto" w:fill="auto"/>
            <w:vAlign w:val="center"/>
          </w:tcPr>
          <w:p>
            <w:pPr>
              <w:widowControl/>
              <w:adjustRightInd w:val="0"/>
              <w:snapToGrid w:val="0"/>
              <w:jc w:val="center"/>
              <w:textAlignment w:val="center"/>
              <w:rPr>
                <w:rFonts w:ascii="仿宋" w:hAnsi="仿宋" w:eastAsia="仿宋" w:cs="宋体"/>
                <w:b/>
                <w:bCs/>
                <w:color w:val="000000"/>
                <w:sz w:val="24"/>
                <w:szCs w:val="24"/>
              </w:rPr>
            </w:pPr>
          </w:p>
        </w:tc>
        <w:tc>
          <w:tcPr>
            <w:tcW w:w="303" w:type="pct"/>
            <w:vMerge w:val="continue"/>
            <w:tcBorders>
              <w:top w:val="single" w:color="auto" w:sz="4" w:space="0"/>
              <w:left w:val="single" w:color="auto" w:sz="8" w:space="0"/>
              <w:bottom w:val="single" w:color="auto" w:sz="8" w:space="0"/>
            </w:tcBorders>
            <w:vAlign w:val="center"/>
          </w:tcPr>
          <w:p>
            <w:pPr>
              <w:widowControl/>
              <w:adjustRightInd w:val="0"/>
              <w:snapToGrid w:val="0"/>
              <w:jc w:val="center"/>
              <w:textAlignment w:val="center"/>
              <w:rPr>
                <w:rFonts w:ascii="仿宋" w:hAnsi="仿宋" w:eastAsia="仿宋" w:cs="宋体"/>
                <w:b/>
                <w:bCs/>
                <w:color w:val="000000"/>
                <w:kern w:val="0"/>
                <w:sz w:val="24"/>
                <w:szCs w:val="24"/>
                <w:lang w:bidi="ar"/>
              </w:rPr>
            </w:pPr>
          </w:p>
        </w:tc>
        <w:tc>
          <w:tcPr>
            <w:tcW w:w="303" w:type="pct"/>
            <w:vMerge w:val="continue"/>
            <w:tcBorders>
              <w:top w:val="single" w:color="auto" w:sz="4" w:space="0"/>
              <w:bottom w:val="single" w:color="auto" w:sz="8" w:space="0"/>
            </w:tcBorders>
            <w:shd w:val="clear" w:color="auto" w:fill="auto"/>
            <w:vAlign w:val="center"/>
          </w:tcPr>
          <w:p>
            <w:pPr>
              <w:widowControl/>
              <w:adjustRightInd w:val="0"/>
              <w:snapToGrid w:val="0"/>
              <w:jc w:val="center"/>
              <w:textAlignment w:val="center"/>
              <w:rPr>
                <w:rFonts w:ascii="仿宋" w:hAnsi="仿宋" w:eastAsia="仿宋" w:cs="等线"/>
                <w:color w:val="000000"/>
                <w:sz w:val="24"/>
                <w:szCs w:val="24"/>
              </w:rPr>
            </w:pPr>
          </w:p>
        </w:tc>
        <w:tc>
          <w:tcPr>
            <w:tcW w:w="369" w:type="pct"/>
            <w:tcBorders>
              <w:top w:val="single" w:color="auto" w:sz="4" w:space="0"/>
              <w:bottom w:val="single" w:color="auto" w:sz="8" w:space="0"/>
            </w:tcBorders>
            <w:shd w:val="clear" w:color="auto" w:fill="auto"/>
            <w:vAlign w:val="center"/>
          </w:tcPr>
          <w:p>
            <w:pPr>
              <w:adjustRightInd w:val="0"/>
              <w:snapToGrid w:val="0"/>
              <w:jc w:val="center"/>
              <w:textAlignment w:val="center"/>
              <w:rPr>
                <w:rFonts w:ascii="仿宋" w:hAnsi="仿宋" w:eastAsia="仿宋" w:cs="宋体"/>
                <w:b/>
                <w:bCs/>
                <w:color w:val="000000"/>
                <w:sz w:val="24"/>
                <w:szCs w:val="24"/>
              </w:rPr>
            </w:pPr>
            <w:r>
              <w:rPr>
                <w:rFonts w:hint="eastAsia" w:ascii="仿宋" w:hAnsi="仿宋" w:eastAsia="仿宋" w:cs="宋体"/>
                <w:b/>
                <w:bCs/>
                <w:color w:val="000000"/>
                <w:kern w:val="0"/>
                <w:sz w:val="24"/>
                <w:szCs w:val="24"/>
                <w:lang w:bidi="ar"/>
              </w:rPr>
              <w:t>线下学时</w:t>
            </w:r>
          </w:p>
        </w:tc>
        <w:tc>
          <w:tcPr>
            <w:tcW w:w="369" w:type="pct"/>
            <w:tcBorders>
              <w:top w:val="single" w:color="auto" w:sz="4" w:space="0"/>
              <w:bottom w:val="single" w:color="auto" w:sz="8" w:space="0"/>
            </w:tcBorders>
            <w:shd w:val="clear" w:color="auto" w:fill="auto"/>
            <w:vAlign w:val="center"/>
          </w:tcPr>
          <w:p>
            <w:pPr>
              <w:adjustRightInd w:val="0"/>
              <w:snapToGrid w:val="0"/>
              <w:jc w:val="center"/>
              <w:textAlignment w:val="center"/>
              <w:rPr>
                <w:rFonts w:ascii="仿宋" w:hAnsi="仿宋" w:eastAsia="仿宋" w:cs="宋体"/>
                <w:b/>
                <w:bCs/>
                <w:color w:val="000000"/>
                <w:sz w:val="24"/>
                <w:szCs w:val="24"/>
              </w:rPr>
            </w:pPr>
            <w:r>
              <w:rPr>
                <w:rFonts w:hint="eastAsia" w:ascii="仿宋" w:hAnsi="仿宋" w:eastAsia="仿宋" w:cs="宋体"/>
                <w:b/>
                <w:bCs/>
                <w:color w:val="000000"/>
                <w:kern w:val="0"/>
                <w:sz w:val="24"/>
                <w:szCs w:val="24"/>
                <w:lang w:bidi="ar"/>
              </w:rPr>
              <w:t>线上学时</w:t>
            </w:r>
          </w:p>
        </w:tc>
        <w:tc>
          <w:tcPr>
            <w:tcW w:w="369" w:type="pct"/>
            <w:tcBorders>
              <w:top w:val="single" w:color="auto" w:sz="4" w:space="0"/>
              <w:bottom w:val="single" w:color="auto" w:sz="8" w:space="0"/>
            </w:tcBorders>
            <w:shd w:val="clear" w:color="auto" w:fill="auto"/>
            <w:vAlign w:val="center"/>
          </w:tcPr>
          <w:p>
            <w:pPr>
              <w:widowControl/>
              <w:adjustRightInd w:val="0"/>
              <w:snapToGrid w:val="0"/>
              <w:jc w:val="center"/>
              <w:textAlignment w:val="center"/>
              <w:rPr>
                <w:rFonts w:ascii="仿宋" w:hAnsi="仿宋" w:eastAsia="仿宋" w:cs="宋体"/>
                <w:b/>
                <w:bCs/>
                <w:color w:val="000000"/>
                <w:sz w:val="24"/>
                <w:szCs w:val="24"/>
              </w:rPr>
            </w:pPr>
            <w:r>
              <w:rPr>
                <w:rFonts w:hint="eastAsia" w:ascii="仿宋" w:hAnsi="仿宋" w:eastAsia="仿宋" w:cs="宋体"/>
                <w:b/>
                <w:bCs/>
                <w:color w:val="000000"/>
                <w:kern w:val="0"/>
                <w:sz w:val="24"/>
                <w:szCs w:val="24"/>
                <w:lang w:bidi="ar"/>
              </w:rPr>
              <w:t>理论学时</w:t>
            </w:r>
          </w:p>
        </w:tc>
        <w:tc>
          <w:tcPr>
            <w:tcW w:w="370" w:type="pct"/>
            <w:tcBorders>
              <w:top w:val="single" w:color="auto" w:sz="4" w:space="0"/>
              <w:bottom w:val="single" w:color="auto" w:sz="8" w:space="0"/>
              <w:right w:val="single" w:color="auto" w:sz="8" w:space="0"/>
            </w:tcBorders>
            <w:shd w:val="clear" w:color="auto" w:fill="auto"/>
            <w:vAlign w:val="center"/>
          </w:tcPr>
          <w:p>
            <w:pPr>
              <w:adjustRightInd w:val="0"/>
              <w:snapToGrid w:val="0"/>
              <w:jc w:val="center"/>
              <w:textAlignment w:val="center"/>
              <w:rPr>
                <w:rFonts w:ascii="仿宋" w:hAnsi="仿宋" w:eastAsia="仿宋" w:cs="宋体"/>
                <w:b/>
                <w:bCs/>
                <w:color w:val="000000"/>
                <w:sz w:val="24"/>
                <w:szCs w:val="24"/>
              </w:rPr>
            </w:pPr>
            <w:r>
              <w:rPr>
                <w:rFonts w:hint="eastAsia" w:ascii="仿宋" w:hAnsi="仿宋" w:eastAsia="仿宋" w:cs="宋体"/>
                <w:b/>
                <w:bCs/>
                <w:color w:val="000000"/>
                <w:kern w:val="0"/>
                <w:sz w:val="24"/>
                <w:szCs w:val="24"/>
                <w:lang w:bidi="ar"/>
              </w:rPr>
              <w:t>实践学时</w:t>
            </w:r>
          </w:p>
        </w:tc>
        <w:tc>
          <w:tcPr>
            <w:tcW w:w="373" w:type="pct"/>
            <w:vMerge w:val="continue"/>
            <w:tcBorders>
              <w:bottom w:val="single" w:color="auto" w:sz="8" w:space="0"/>
            </w:tcBorders>
            <w:shd w:val="clear" w:color="auto" w:fill="auto"/>
            <w:vAlign w:val="center"/>
          </w:tcPr>
          <w:p>
            <w:pPr>
              <w:adjustRightInd w:val="0"/>
              <w:snapToGrid w:val="0"/>
              <w:jc w:val="center"/>
              <w:textAlignment w:val="center"/>
              <w:rPr>
                <w:rFonts w:ascii="仿宋" w:hAnsi="仿宋" w:eastAsia="仿宋" w:cs="宋体"/>
                <w:b/>
                <w:bCs/>
                <w:color w:val="000000"/>
                <w:kern w:val="0"/>
                <w:sz w:val="24"/>
                <w:szCs w:val="24"/>
                <w:lang w:bidi="ar"/>
              </w:rPr>
            </w:pPr>
          </w:p>
        </w:tc>
        <w:tc>
          <w:tcPr>
            <w:tcW w:w="373" w:type="pct"/>
            <w:vMerge w:val="continue"/>
            <w:tcBorders>
              <w:bottom w:val="single" w:color="auto" w:sz="8" w:space="0"/>
            </w:tcBorders>
            <w:shd w:val="clear" w:color="auto" w:fill="auto"/>
            <w:vAlign w:val="center"/>
          </w:tcPr>
          <w:p>
            <w:pPr>
              <w:widowControl/>
              <w:adjustRightInd w:val="0"/>
              <w:snapToGrid w:val="0"/>
              <w:jc w:val="center"/>
              <w:textAlignment w:val="center"/>
              <w:rPr>
                <w:rFonts w:ascii="仿宋" w:hAnsi="仿宋" w:eastAsia="仿宋" w:cs="宋体"/>
                <w:b/>
                <w:bCs/>
                <w:color w:val="00000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71" w:hRule="atLeast"/>
          <w:jc w:val="center"/>
        </w:trPr>
        <w:tc>
          <w:tcPr>
            <w:tcW w:w="870" w:type="pct"/>
            <w:tcBorders>
              <w:top w:val="single" w:color="auto" w:sz="8" w:space="0"/>
              <w:bottom w:val="single" w:color="auto" w:sz="8" w:space="0"/>
            </w:tcBorders>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kern w:val="0"/>
                <w:sz w:val="24"/>
                <w:szCs w:val="24"/>
                <w:lang w:bidi="ar"/>
              </w:rPr>
            </w:pPr>
            <w:r>
              <w:rPr>
                <w:rFonts w:hint="eastAsia" w:ascii="仿宋" w:hAnsi="仿宋" w:eastAsia="仿宋" w:cs="Times New Roman"/>
                <w:kern w:val="0"/>
                <w:sz w:val="24"/>
                <w:szCs w:val="24"/>
                <w:lang w:bidi="ar"/>
              </w:rPr>
              <w:t>2025</w:t>
            </w:r>
            <w:r>
              <w:rPr>
                <w:rFonts w:hint="eastAsia" w:ascii="仿宋" w:hAnsi="仿宋" w:eastAsia="仿宋" w:cs="Times New Roman"/>
                <w:kern w:val="0"/>
                <w:sz w:val="24"/>
                <w:szCs w:val="24"/>
                <w:lang w:val="en-US" w:eastAsia="zh-CN" w:bidi="ar"/>
              </w:rPr>
              <w:t>WGY</w:t>
            </w:r>
            <w:r>
              <w:rPr>
                <w:rFonts w:hint="eastAsia" w:ascii="仿宋" w:hAnsi="仿宋" w:eastAsia="仿宋" w:cs="Times New Roman"/>
                <w:kern w:val="0"/>
                <w:sz w:val="24"/>
                <w:szCs w:val="24"/>
                <w:lang w:bidi="ar"/>
              </w:rPr>
              <w:t>W101</w:t>
            </w:r>
          </w:p>
        </w:tc>
        <w:tc>
          <w:tcPr>
            <w:tcW w:w="1296" w:type="pct"/>
            <w:tcBorders>
              <w:top w:val="single" w:color="auto" w:sz="8" w:space="0"/>
              <w:bottom w:val="single" w:color="auto" w:sz="8" w:space="0"/>
              <w:right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lang w:val="en-US" w:eastAsia="zh-CN"/>
              </w:rPr>
              <w:t>基础英语语法</w:t>
            </w:r>
          </w:p>
        </w:tc>
        <w:tc>
          <w:tcPr>
            <w:tcW w:w="303" w:type="pct"/>
            <w:tcBorders>
              <w:top w:val="single" w:color="auto" w:sz="8" w:space="0"/>
              <w:left w:val="single" w:color="auto" w:sz="8" w:space="0"/>
              <w:bottom w:val="single" w:color="auto" w:sz="8" w:space="0"/>
            </w:tcBorders>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rPr>
              <w:t>2</w:t>
            </w:r>
          </w:p>
        </w:tc>
        <w:tc>
          <w:tcPr>
            <w:tcW w:w="30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lang w:val="en-US" w:eastAsia="zh-CN"/>
              </w:rPr>
              <w:t>32</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lang w:val="en-US" w:eastAsia="zh-CN"/>
              </w:rPr>
              <w:t>24</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lang w:val="en-US" w:eastAsia="zh-CN"/>
              </w:rPr>
              <w:t>8</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lang w:val="en-US" w:eastAsia="zh-CN"/>
              </w:rPr>
              <w:t>24</w:t>
            </w:r>
          </w:p>
        </w:tc>
        <w:tc>
          <w:tcPr>
            <w:tcW w:w="370" w:type="pct"/>
            <w:tcBorders>
              <w:top w:val="single" w:color="auto" w:sz="8" w:space="0"/>
              <w:bottom w:val="single" w:color="auto" w:sz="8" w:space="0"/>
              <w:right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lang w:val="en-US" w:eastAsia="zh-CN"/>
              </w:rPr>
              <w:t>8</w:t>
            </w:r>
          </w:p>
        </w:tc>
        <w:tc>
          <w:tcPr>
            <w:tcW w:w="37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lang w:val="en-US" w:eastAsia="zh-CN"/>
              </w:rPr>
              <w:t>1</w:t>
            </w:r>
          </w:p>
        </w:tc>
        <w:tc>
          <w:tcPr>
            <w:tcW w:w="37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lang w:val="en-US" w:eastAsia="zh-CN"/>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71" w:hRule="atLeast"/>
          <w:jc w:val="center"/>
        </w:trPr>
        <w:tc>
          <w:tcPr>
            <w:tcW w:w="870" w:type="pct"/>
            <w:tcBorders>
              <w:top w:val="single" w:color="auto" w:sz="8" w:space="0"/>
              <w:bottom w:val="single" w:color="auto" w:sz="8" w:space="0"/>
            </w:tcBorders>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kern w:val="0"/>
                <w:sz w:val="24"/>
                <w:szCs w:val="24"/>
                <w:lang w:bidi="ar"/>
              </w:rPr>
            </w:pPr>
            <w:r>
              <w:rPr>
                <w:rFonts w:hint="eastAsia" w:ascii="仿宋" w:hAnsi="仿宋" w:eastAsia="仿宋" w:cs="Times New Roman"/>
                <w:kern w:val="0"/>
                <w:sz w:val="24"/>
                <w:szCs w:val="24"/>
                <w:lang w:bidi="ar"/>
              </w:rPr>
              <w:t>2025</w:t>
            </w:r>
            <w:r>
              <w:rPr>
                <w:rFonts w:hint="eastAsia" w:ascii="仿宋" w:hAnsi="仿宋" w:eastAsia="仿宋" w:cs="Times New Roman"/>
                <w:kern w:val="0"/>
                <w:sz w:val="24"/>
                <w:szCs w:val="24"/>
                <w:lang w:val="en-US" w:eastAsia="zh-CN" w:bidi="ar"/>
              </w:rPr>
              <w:t>WGY</w:t>
            </w:r>
            <w:r>
              <w:rPr>
                <w:rFonts w:hint="eastAsia" w:ascii="仿宋" w:hAnsi="仿宋" w:eastAsia="仿宋" w:cs="Times New Roman"/>
                <w:kern w:val="0"/>
                <w:sz w:val="24"/>
                <w:szCs w:val="24"/>
                <w:lang w:bidi="ar"/>
              </w:rPr>
              <w:t>W10</w:t>
            </w:r>
            <w:r>
              <w:rPr>
                <w:rFonts w:hint="eastAsia" w:ascii="仿宋" w:hAnsi="仿宋" w:eastAsia="仿宋" w:cs="Times New Roman"/>
                <w:kern w:val="0"/>
                <w:sz w:val="24"/>
                <w:szCs w:val="24"/>
                <w:lang w:val="en-US" w:eastAsia="zh-CN" w:bidi="ar"/>
              </w:rPr>
              <w:t>2</w:t>
            </w:r>
          </w:p>
        </w:tc>
        <w:tc>
          <w:tcPr>
            <w:tcW w:w="1296" w:type="pct"/>
            <w:tcBorders>
              <w:top w:val="single" w:color="auto" w:sz="8" w:space="0"/>
              <w:bottom w:val="single" w:color="auto" w:sz="8" w:space="0"/>
              <w:right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高级英语阅读</w:t>
            </w:r>
          </w:p>
        </w:tc>
        <w:tc>
          <w:tcPr>
            <w:tcW w:w="303" w:type="pct"/>
            <w:tcBorders>
              <w:top w:val="single" w:color="auto" w:sz="8" w:space="0"/>
              <w:left w:val="single" w:color="auto" w:sz="8" w:space="0"/>
              <w:bottom w:val="single" w:color="auto" w:sz="8" w:space="0"/>
            </w:tcBorders>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3</w:t>
            </w:r>
          </w:p>
        </w:tc>
        <w:tc>
          <w:tcPr>
            <w:tcW w:w="30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48</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36</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12</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24</w:t>
            </w:r>
          </w:p>
        </w:tc>
        <w:tc>
          <w:tcPr>
            <w:tcW w:w="370" w:type="pct"/>
            <w:tcBorders>
              <w:top w:val="single" w:color="auto" w:sz="8" w:space="0"/>
              <w:bottom w:val="single" w:color="auto" w:sz="8" w:space="0"/>
              <w:right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24</w:t>
            </w:r>
          </w:p>
        </w:tc>
        <w:tc>
          <w:tcPr>
            <w:tcW w:w="37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1</w:t>
            </w:r>
          </w:p>
        </w:tc>
        <w:tc>
          <w:tcPr>
            <w:tcW w:w="37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lang w:val="en-US" w:eastAsia="zh-CN"/>
              </w:rPr>
              <w:t>考试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71" w:hRule="atLeast"/>
          <w:jc w:val="center"/>
        </w:trPr>
        <w:tc>
          <w:tcPr>
            <w:tcW w:w="870" w:type="pct"/>
            <w:tcBorders>
              <w:top w:val="single" w:color="auto" w:sz="8" w:space="0"/>
              <w:bottom w:val="single" w:color="auto" w:sz="8" w:space="0"/>
            </w:tcBorders>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kern w:val="0"/>
                <w:sz w:val="24"/>
                <w:szCs w:val="24"/>
                <w:lang w:bidi="ar"/>
              </w:rPr>
            </w:pPr>
            <w:r>
              <w:rPr>
                <w:rFonts w:hint="eastAsia" w:ascii="仿宋" w:hAnsi="仿宋" w:eastAsia="仿宋" w:cs="Times New Roman"/>
                <w:kern w:val="0"/>
                <w:sz w:val="24"/>
                <w:szCs w:val="24"/>
                <w:lang w:bidi="ar"/>
              </w:rPr>
              <w:t>2025</w:t>
            </w:r>
            <w:r>
              <w:rPr>
                <w:rFonts w:hint="eastAsia" w:ascii="仿宋" w:hAnsi="仿宋" w:eastAsia="仿宋" w:cs="Times New Roman"/>
                <w:kern w:val="0"/>
                <w:sz w:val="24"/>
                <w:szCs w:val="24"/>
                <w:lang w:val="en-US" w:eastAsia="zh-CN" w:bidi="ar"/>
              </w:rPr>
              <w:t>WGY</w:t>
            </w:r>
            <w:r>
              <w:rPr>
                <w:rFonts w:hint="eastAsia" w:ascii="仿宋" w:hAnsi="仿宋" w:eastAsia="仿宋" w:cs="Times New Roman"/>
                <w:kern w:val="0"/>
                <w:sz w:val="24"/>
                <w:szCs w:val="24"/>
                <w:lang w:bidi="ar"/>
              </w:rPr>
              <w:t>W10</w:t>
            </w:r>
            <w:r>
              <w:rPr>
                <w:rFonts w:hint="eastAsia" w:ascii="仿宋" w:hAnsi="仿宋" w:eastAsia="仿宋" w:cs="Times New Roman"/>
                <w:kern w:val="0"/>
                <w:sz w:val="24"/>
                <w:szCs w:val="24"/>
                <w:lang w:val="en-US" w:eastAsia="zh-CN" w:bidi="ar"/>
              </w:rPr>
              <w:t>3</w:t>
            </w:r>
          </w:p>
        </w:tc>
        <w:tc>
          <w:tcPr>
            <w:tcW w:w="1296" w:type="pct"/>
            <w:tcBorders>
              <w:top w:val="single" w:color="auto" w:sz="8" w:space="0"/>
              <w:bottom w:val="single" w:color="auto" w:sz="8" w:space="0"/>
              <w:right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高级英语写作</w:t>
            </w:r>
          </w:p>
        </w:tc>
        <w:tc>
          <w:tcPr>
            <w:tcW w:w="303" w:type="pct"/>
            <w:tcBorders>
              <w:top w:val="single" w:color="auto" w:sz="8" w:space="0"/>
              <w:left w:val="single" w:color="auto" w:sz="8" w:space="0"/>
              <w:bottom w:val="single" w:color="auto" w:sz="8" w:space="0"/>
            </w:tcBorders>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2</w:t>
            </w:r>
          </w:p>
        </w:tc>
        <w:tc>
          <w:tcPr>
            <w:tcW w:w="30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32</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24</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8</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16</w:t>
            </w:r>
          </w:p>
        </w:tc>
        <w:tc>
          <w:tcPr>
            <w:tcW w:w="370" w:type="pct"/>
            <w:tcBorders>
              <w:top w:val="single" w:color="auto" w:sz="8" w:space="0"/>
              <w:bottom w:val="single" w:color="auto" w:sz="8" w:space="0"/>
              <w:right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16</w:t>
            </w:r>
          </w:p>
        </w:tc>
        <w:tc>
          <w:tcPr>
            <w:tcW w:w="37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lang w:val="en-US" w:eastAsia="zh-CN"/>
              </w:rPr>
            </w:pPr>
            <w:r>
              <w:rPr>
                <w:rFonts w:hint="eastAsia" w:ascii="仿宋" w:hAnsi="仿宋" w:eastAsia="仿宋" w:cs="Times New Roman"/>
                <w:sz w:val="24"/>
                <w:szCs w:val="24"/>
                <w:lang w:val="en-US" w:eastAsia="zh-CN"/>
              </w:rPr>
              <w:t>2</w:t>
            </w:r>
          </w:p>
        </w:tc>
        <w:tc>
          <w:tcPr>
            <w:tcW w:w="37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sz w:val="24"/>
                <w:szCs w:val="24"/>
                <w:lang w:val="en-US" w:eastAsia="zh-CN"/>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71" w:hRule="atLeast"/>
          <w:jc w:val="center"/>
        </w:trPr>
        <w:tc>
          <w:tcPr>
            <w:tcW w:w="870" w:type="pct"/>
            <w:tcBorders>
              <w:top w:val="single" w:color="auto" w:sz="8" w:space="0"/>
              <w:bottom w:val="single" w:color="auto" w:sz="8" w:space="0"/>
            </w:tcBorders>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kern w:val="0"/>
                <w:sz w:val="24"/>
                <w:szCs w:val="24"/>
                <w:lang w:bidi="ar"/>
              </w:rPr>
            </w:pPr>
            <w:r>
              <w:rPr>
                <w:rFonts w:hint="eastAsia" w:ascii="仿宋" w:hAnsi="仿宋" w:eastAsia="仿宋" w:cs="Times New Roman"/>
                <w:kern w:val="0"/>
                <w:sz w:val="24"/>
                <w:szCs w:val="24"/>
                <w:lang w:bidi="ar"/>
              </w:rPr>
              <w:t>2025</w:t>
            </w:r>
            <w:r>
              <w:rPr>
                <w:rFonts w:hint="eastAsia" w:ascii="仿宋" w:hAnsi="仿宋" w:eastAsia="仿宋" w:cs="Times New Roman"/>
                <w:kern w:val="0"/>
                <w:sz w:val="24"/>
                <w:szCs w:val="24"/>
                <w:lang w:val="en-US" w:eastAsia="zh-CN" w:bidi="ar"/>
              </w:rPr>
              <w:t>WGY</w:t>
            </w:r>
            <w:r>
              <w:rPr>
                <w:rFonts w:hint="eastAsia" w:ascii="仿宋" w:hAnsi="仿宋" w:eastAsia="仿宋" w:cs="Times New Roman"/>
                <w:kern w:val="0"/>
                <w:sz w:val="24"/>
                <w:szCs w:val="24"/>
                <w:lang w:bidi="ar"/>
              </w:rPr>
              <w:t>W10</w:t>
            </w:r>
            <w:r>
              <w:rPr>
                <w:rFonts w:hint="eastAsia" w:ascii="仿宋" w:hAnsi="仿宋" w:eastAsia="仿宋" w:cs="Times New Roman"/>
                <w:kern w:val="0"/>
                <w:sz w:val="24"/>
                <w:szCs w:val="24"/>
                <w:lang w:val="en-US" w:eastAsia="zh-CN" w:bidi="ar"/>
              </w:rPr>
              <w:t>4</w:t>
            </w:r>
          </w:p>
        </w:tc>
        <w:tc>
          <w:tcPr>
            <w:tcW w:w="1296" w:type="pct"/>
            <w:tcBorders>
              <w:top w:val="single" w:color="auto" w:sz="8" w:space="0"/>
              <w:bottom w:val="single" w:color="auto" w:sz="8" w:space="0"/>
              <w:right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kern w:val="0"/>
                <w:sz w:val="24"/>
                <w:szCs w:val="24"/>
                <w:lang w:val="en-US" w:eastAsia="zh-CN" w:bidi="ar"/>
              </w:rPr>
              <w:t>英汉翻译</w:t>
            </w:r>
          </w:p>
        </w:tc>
        <w:tc>
          <w:tcPr>
            <w:tcW w:w="303" w:type="pct"/>
            <w:tcBorders>
              <w:top w:val="single" w:color="auto" w:sz="8" w:space="0"/>
              <w:left w:val="single" w:color="auto" w:sz="8" w:space="0"/>
              <w:bottom w:val="single" w:color="auto" w:sz="8" w:space="0"/>
            </w:tcBorders>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2</w:t>
            </w:r>
          </w:p>
        </w:tc>
        <w:tc>
          <w:tcPr>
            <w:tcW w:w="30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32</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24</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8</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16</w:t>
            </w:r>
          </w:p>
        </w:tc>
        <w:tc>
          <w:tcPr>
            <w:tcW w:w="370" w:type="pct"/>
            <w:tcBorders>
              <w:top w:val="single" w:color="auto" w:sz="8" w:space="0"/>
              <w:bottom w:val="single" w:color="auto" w:sz="8" w:space="0"/>
              <w:right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16</w:t>
            </w:r>
          </w:p>
        </w:tc>
        <w:tc>
          <w:tcPr>
            <w:tcW w:w="37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2</w:t>
            </w:r>
          </w:p>
        </w:tc>
        <w:tc>
          <w:tcPr>
            <w:tcW w:w="37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kern w:val="2"/>
                <w:sz w:val="24"/>
                <w:szCs w:val="24"/>
                <w:lang w:val="en-US" w:eastAsia="zh-CN" w:bidi="ar"/>
              </w:rPr>
              <w:t>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71" w:hRule="atLeast"/>
          <w:jc w:val="center"/>
        </w:trPr>
        <w:tc>
          <w:tcPr>
            <w:tcW w:w="870" w:type="pct"/>
            <w:tcBorders>
              <w:top w:val="single" w:color="auto" w:sz="8" w:space="0"/>
              <w:bottom w:val="single" w:color="auto" w:sz="8" w:space="0"/>
            </w:tcBorders>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kern w:val="0"/>
                <w:sz w:val="24"/>
                <w:szCs w:val="24"/>
                <w:lang w:bidi="ar"/>
              </w:rPr>
            </w:pPr>
            <w:r>
              <w:rPr>
                <w:rFonts w:hint="eastAsia" w:ascii="仿宋" w:hAnsi="仿宋" w:eastAsia="仿宋" w:cs="Times New Roman"/>
                <w:kern w:val="0"/>
                <w:sz w:val="24"/>
                <w:szCs w:val="24"/>
                <w:lang w:bidi="ar"/>
              </w:rPr>
              <w:t>2025</w:t>
            </w:r>
            <w:r>
              <w:rPr>
                <w:rFonts w:hint="eastAsia" w:ascii="仿宋" w:hAnsi="仿宋" w:eastAsia="仿宋" w:cs="Times New Roman"/>
                <w:kern w:val="0"/>
                <w:sz w:val="24"/>
                <w:szCs w:val="24"/>
                <w:lang w:val="en-US" w:eastAsia="zh-CN" w:bidi="ar"/>
              </w:rPr>
              <w:t>WGY</w:t>
            </w:r>
            <w:r>
              <w:rPr>
                <w:rFonts w:hint="eastAsia" w:ascii="仿宋" w:hAnsi="仿宋" w:eastAsia="仿宋" w:cs="Times New Roman"/>
                <w:kern w:val="0"/>
                <w:sz w:val="24"/>
                <w:szCs w:val="24"/>
                <w:lang w:bidi="ar"/>
              </w:rPr>
              <w:t>W10</w:t>
            </w:r>
            <w:r>
              <w:rPr>
                <w:rFonts w:hint="eastAsia" w:ascii="仿宋" w:hAnsi="仿宋" w:eastAsia="仿宋" w:cs="Times New Roman"/>
                <w:kern w:val="0"/>
                <w:sz w:val="24"/>
                <w:szCs w:val="24"/>
                <w:lang w:val="en-US" w:eastAsia="zh-CN" w:bidi="ar"/>
              </w:rPr>
              <w:t>5</w:t>
            </w:r>
          </w:p>
        </w:tc>
        <w:tc>
          <w:tcPr>
            <w:tcW w:w="1296" w:type="pct"/>
            <w:tcBorders>
              <w:top w:val="single" w:color="auto" w:sz="8" w:space="0"/>
              <w:bottom w:val="single" w:color="auto" w:sz="8" w:space="0"/>
              <w:right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kern w:val="0"/>
                <w:sz w:val="24"/>
                <w:szCs w:val="24"/>
                <w:lang w:val="en-US" w:eastAsia="zh-CN" w:bidi="ar"/>
              </w:rPr>
              <w:t>跨文化沟通</w:t>
            </w:r>
          </w:p>
        </w:tc>
        <w:tc>
          <w:tcPr>
            <w:tcW w:w="303" w:type="pct"/>
            <w:tcBorders>
              <w:top w:val="single" w:color="auto" w:sz="8" w:space="0"/>
              <w:left w:val="single" w:color="auto" w:sz="8" w:space="0"/>
              <w:bottom w:val="single" w:color="auto" w:sz="8" w:space="0"/>
            </w:tcBorders>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2</w:t>
            </w:r>
          </w:p>
        </w:tc>
        <w:tc>
          <w:tcPr>
            <w:tcW w:w="30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32</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24</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8</w:t>
            </w:r>
          </w:p>
        </w:tc>
        <w:tc>
          <w:tcPr>
            <w:tcW w:w="369"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16</w:t>
            </w:r>
          </w:p>
        </w:tc>
        <w:tc>
          <w:tcPr>
            <w:tcW w:w="370" w:type="pct"/>
            <w:tcBorders>
              <w:top w:val="single" w:color="auto" w:sz="8" w:space="0"/>
              <w:bottom w:val="single" w:color="auto" w:sz="8" w:space="0"/>
              <w:right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16</w:t>
            </w:r>
          </w:p>
        </w:tc>
        <w:tc>
          <w:tcPr>
            <w:tcW w:w="37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hint="eastAsia" w:ascii="仿宋" w:hAnsi="仿宋" w:eastAsia="仿宋" w:cs="Times New Roman"/>
                <w:sz w:val="24"/>
                <w:szCs w:val="24"/>
              </w:rPr>
            </w:pPr>
            <w:r>
              <w:rPr>
                <w:rFonts w:hint="eastAsia" w:ascii="仿宋" w:hAnsi="仿宋" w:eastAsia="仿宋" w:cs="Times New Roman"/>
                <w:sz w:val="24"/>
                <w:szCs w:val="24"/>
                <w:lang w:val="en-US" w:eastAsia="zh-CN"/>
              </w:rPr>
              <w:t>2</w:t>
            </w:r>
          </w:p>
        </w:tc>
        <w:tc>
          <w:tcPr>
            <w:tcW w:w="373" w:type="pct"/>
            <w:tcBorders>
              <w:top w:val="single" w:color="auto" w:sz="8" w:space="0"/>
              <w:bottom w:val="single" w:color="auto" w:sz="8" w:space="0"/>
            </w:tcBorders>
            <w:shd w:val="clear" w:color="auto" w:fill="auto"/>
            <w:vAlign w:val="center"/>
          </w:tcPr>
          <w:p>
            <w:pPr>
              <w:keepNext w:val="0"/>
              <w:keepLines w:val="0"/>
              <w:widowControl/>
              <w:suppressLineNumbers w:val="0"/>
              <w:adjustRightInd w:val="0"/>
              <w:snapToGrid w:val="0"/>
              <w:spacing w:before="0" w:beforeAutospacing="0" w:after="0" w:afterAutospacing="0"/>
              <w:ind w:left="0" w:leftChars="0" w:right="0" w:rightChars="0"/>
              <w:jc w:val="center"/>
              <w:textAlignment w:val="center"/>
              <w:rPr>
                <w:rFonts w:ascii="仿宋" w:hAnsi="仿宋" w:eastAsia="仿宋" w:cs="Times New Roman"/>
                <w:sz w:val="24"/>
                <w:szCs w:val="24"/>
              </w:rPr>
            </w:pPr>
            <w:r>
              <w:rPr>
                <w:rFonts w:hint="eastAsia" w:ascii="仿宋" w:hAnsi="仿宋" w:eastAsia="仿宋" w:cs="Times New Roman"/>
                <w:kern w:val="2"/>
                <w:sz w:val="24"/>
                <w:szCs w:val="24"/>
                <w:lang w:val="en-US" w:eastAsia="zh-CN" w:bidi="ar"/>
              </w:rPr>
              <w:t>考查</w:t>
            </w:r>
          </w:p>
        </w:tc>
      </w:tr>
    </w:tbl>
    <w:p>
      <w:pPr>
        <w:widowControl/>
        <w:tabs>
          <w:tab w:val="left" w:pos="467"/>
          <w:tab w:val="left" w:pos="2354"/>
          <w:tab w:val="left" w:pos="3227"/>
          <w:tab w:val="left" w:pos="4087"/>
          <w:tab w:val="left" w:pos="4975"/>
          <w:tab w:val="left" w:pos="5476"/>
          <w:tab w:val="left" w:pos="6326"/>
        </w:tabs>
        <w:ind w:right="-14"/>
        <w:jc w:val="left"/>
        <w:textAlignment w:val="center"/>
        <w:rPr>
          <w:rFonts w:ascii="仿宋" w:hAnsi="仿宋" w:eastAsia="仿宋" w:cs="宋体"/>
          <w:b/>
          <w:bCs/>
          <w:color w:val="000000"/>
          <w:kern w:val="0"/>
          <w:sz w:val="24"/>
          <w:szCs w:val="24"/>
        </w:rPr>
      </w:pP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四、修读条件</w:t>
      </w:r>
    </w:p>
    <w:p>
      <w:pPr>
        <w:widowControl/>
        <w:snapToGrid w:val="0"/>
        <w:spacing w:line="360" w:lineRule="auto"/>
        <w:ind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面向全校本科二</w:t>
      </w:r>
      <w:r>
        <w:rPr>
          <w:rFonts w:hint="eastAsia" w:ascii="仿宋" w:hAnsi="仿宋" w:eastAsia="仿宋" w:cs="宋体"/>
          <w:color w:val="333333"/>
          <w:kern w:val="0"/>
          <w:sz w:val="24"/>
          <w:szCs w:val="24"/>
          <w:lang w:eastAsia="zh-CN"/>
        </w:rPr>
        <w:t>、</w:t>
      </w:r>
      <w:r>
        <w:rPr>
          <w:rFonts w:hint="eastAsia" w:ascii="仿宋" w:hAnsi="仿宋" w:eastAsia="仿宋" w:cs="宋体"/>
          <w:color w:val="333333"/>
          <w:kern w:val="0"/>
          <w:sz w:val="24"/>
          <w:szCs w:val="24"/>
          <w:lang w:val="en-US" w:eastAsia="zh-CN"/>
        </w:rPr>
        <w:t>三</w:t>
      </w:r>
      <w:r>
        <w:rPr>
          <w:rFonts w:hint="eastAsia" w:ascii="仿宋" w:hAnsi="仿宋" w:eastAsia="仿宋" w:cs="宋体"/>
          <w:color w:val="333333"/>
          <w:kern w:val="0"/>
          <w:sz w:val="24"/>
          <w:szCs w:val="24"/>
        </w:rPr>
        <w:t>年级</w:t>
      </w:r>
      <w:r>
        <w:rPr>
          <w:rFonts w:hint="eastAsia" w:ascii="仿宋" w:hAnsi="仿宋" w:eastAsia="仿宋" w:cs="宋体"/>
          <w:color w:val="333333"/>
          <w:kern w:val="0"/>
          <w:sz w:val="24"/>
          <w:szCs w:val="24"/>
          <w:lang w:val="en-US" w:eastAsia="zh-CN"/>
        </w:rPr>
        <w:t>非英语专业学生招生</w:t>
      </w:r>
      <w:r>
        <w:rPr>
          <w:rFonts w:hint="eastAsia" w:ascii="仿宋" w:hAnsi="仿宋" w:eastAsia="仿宋" w:cs="宋体"/>
          <w:color w:val="333333"/>
          <w:kern w:val="0"/>
          <w:sz w:val="24"/>
          <w:szCs w:val="24"/>
        </w:rPr>
        <w:t>，</w:t>
      </w:r>
      <w:r>
        <w:rPr>
          <w:rFonts w:hint="eastAsia" w:ascii="仿宋" w:hAnsi="仿宋" w:eastAsia="仿宋" w:cs="宋体"/>
          <w:color w:val="333333"/>
          <w:kern w:val="0"/>
          <w:sz w:val="24"/>
          <w:szCs w:val="24"/>
          <w:lang w:val="en-US" w:eastAsia="zh-CN"/>
        </w:rPr>
        <w:t>且已修完以下前置课程</w:t>
      </w:r>
      <w:r>
        <w:rPr>
          <w:rFonts w:hint="eastAsia" w:ascii="仿宋" w:hAnsi="仿宋" w:eastAsia="仿宋" w:cs="宋体"/>
          <w:color w:val="333333"/>
          <w:kern w:val="0"/>
          <w:sz w:val="24"/>
          <w:szCs w:val="24"/>
        </w:rPr>
        <w:t>。</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前置课程：</w:t>
      </w:r>
      <w:r>
        <w:rPr>
          <w:rFonts w:hint="eastAsia" w:ascii="仿宋" w:hAnsi="仿宋" w:eastAsia="仿宋" w:cs="宋体"/>
          <w:color w:val="333333"/>
          <w:kern w:val="0"/>
          <w:sz w:val="24"/>
          <w:szCs w:val="24"/>
          <w:lang w:eastAsia="zh-CN"/>
        </w:rPr>
        <w:t>《</w:t>
      </w:r>
      <w:r>
        <w:rPr>
          <w:rFonts w:hint="eastAsia" w:ascii="仿宋" w:hAnsi="仿宋" w:eastAsia="仿宋" w:cs="宋体"/>
          <w:color w:val="333333"/>
          <w:kern w:val="0"/>
          <w:sz w:val="24"/>
          <w:szCs w:val="24"/>
          <w:lang w:val="en-US" w:eastAsia="zh-CN"/>
        </w:rPr>
        <w:t>大学英语精读一</w:t>
      </w:r>
      <w:r>
        <w:rPr>
          <w:rFonts w:hint="eastAsia" w:ascii="仿宋" w:hAnsi="仿宋" w:eastAsia="仿宋" w:cs="宋体"/>
          <w:color w:val="333333"/>
          <w:kern w:val="0"/>
          <w:sz w:val="24"/>
          <w:szCs w:val="24"/>
          <w:lang w:eastAsia="zh-CN"/>
        </w:rPr>
        <w:t>》、《</w:t>
      </w:r>
      <w:r>
        <w:rPr>
          <w:rFonts w:hint="eastAsia" w:ascii="仿宋" w:hAnsi="仿宋" w:eastAsia="仿宋" w:cs="宋体"/>
          <w:color w:val="333333"/>
          <w:kern w:val="0"/>
          <w:sz w:val="24"/>
          <w:szCs w:val="24"/>
          <w:lang w:val="en-US" w:eastAsia="zh-CN"/>
        </w:rPr>
        <w:t>大学英语听力一》、《大学英语精读二》、《大学英语听力二》。</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五、应用领域</w:t>
      </w:r>
    </w:p>
    <w:p>
      <w:pPr>
        <w:widowControl/>
        <w:snapToGrid w:val="0"/>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本微专业毕业生具备英语语言的专业知识和实践能力，可适配以下领域：</w:t>
      </w:r>
    </w:p>
    <w:p>
      <w:pPr>
        <w:widowControl/>
        <w:numPr>
          <w:ilvl w:val="0"/>
          <w:numId w:val="1"/>
        </w:numPr>
        <w:snapToGrid w:val="0"/>
        <w:spacing w:line="360" w:lineRule="auto"/>
        <w:ind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学术深造：支撑国际期刊阅读、跨境学术会议交流、海外升学文书撰写与学术答辩；</w:t>
      </w:r>
    </w:p>
    <w:p>
      <w:pPr>
        <w:widowControl/>
        <w:numPr>
          <w:ilvl w:val="0"/>
          <w:numId w:val="1"/>
        </w:numPr>
        <w:snapToGrid w:val="0"/>
        <w:spacing w:line="360" w:lineRule="auto"/>
        <w:ind w:left="0" w:leftChars="0"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职场应用：适配外企办公、跨境业务对接、国际项目协作、外贸洽谈、跨文化职场沟通；</w:t>
      </w:r>
    </w:p>
    <w:p>
      <w:pPr>
        <w:widowControl/>
        <w:numPr>
          <w:ilvl w:val="0"/>
          <w:numId w:val="1"/>
        </w:numPr>
        <w:snapToGrid w:val="0"/>
        <w:spacing w:line="360" w:lineRule="auto"/>
        <w:ind w:left="0" w:leftChars="0"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国际服务：适用于外事接待、跨境文旅服务、国际赛事 / 展会服务、跨文化咨询；</w:t>
      </w:r>
    </w:p>
    <w:p>
      <w:pPr>
        <w:widowControl/>
        <w:numPr>
          <w:ilvl w:val="0"/>
          <w:numId w:val="1"/>
        </w:numPr>
        <w:snapToGrid w:val="0"/>
        <w:spacing w:line="360" w:lineRule="auto"/>
        <w:ind w:left="0" w:leftChars="0" w:firstLine="480" w:firstLineChars="20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新兴领域：助力跨境电商运营、国际教育服务、多语言内容编辑、跨文化新媒体传播等场景，全面衔接学术、职场与国际交流需求。</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六、资格证书</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学生修满本培养方案规定的1</w:t>
      </w:r>
      <w:r>
        <w:rPr>
          <w:rFonts w:hint="eastAsia" w:ascii="仿宋" w:hAnsi="仿宋" w:eastAsia="仿宋" w:cs="宋体"/>
          <w:color w:val="333333"/>
          <w:kern w:val="0"/>
          <w:sz w:val="24"/>
          <w:szCs w:val="24"/>
          <w:lang w:val="en-US" w:eastAsia="zh-CN"/>
        </w:rPr>
        <w:t>1</w:t>
      </w:r>
      <w:r>
        <w:rPr>
          <w:rFonts w:hint="eastAsia" w:ascii="仿宋" w:hAnsi="仿宋" w:eastAsia="仿宋" w:cs="宋体"/>
          <w:color w:val="333333"/>
          <w:kern w:val="0"/>
          <w:sz w:val="24"/>
          <w:szCs w:val="24"/>
        </w:rPr>
        <w:t>个学分，颁发</w:t>
      </w:r>
      <w:r>
        <w:rPr>
          <w:rFonts w:hint="eastAsia" w:ascii="仿宋" w:hAnsi="仿宋" w:eastAsia="仿宋" w:cs="宋体"/>
          <w:color w:val="333333"/>
          <w:kern w:val="0"/>
          <w:sz w:val="24"/>
          <w:szCs w:val="24"/>
          <w:lang w:val="en-US" w:eastAsia="zh-CN"/>
        </w:rPr>
        <w:t>湖北师范大学文理</w:t>
      </w:r>
      <w:r>
        <w:rPr>
          <w:rFonts w:hint="eastAsia" w:ascii="仿宋" w:hAnsi="仿宋" w:eastAsia="仿宋" w:cs="宋体"/>
          <w:color w:val="333333"/>
          <w:kern w:val="0"/>
          <w:sz w:val="24"/>
          <w:szCs w:val="24"/>
        </w:rPr>
        <w:t>学院“</w:t>
      </w:r>
      <w:r>
        <w:rPr>
          <w:rFonts w:hint="eastAsia" w:ascii="仿宋" w:hAnsi="仿宋" w:eastAsia="仿宋" w:cs="宋体"/>
          <w:color w:val="333333"/>
          <w:kern w:val="0"/>
          <w:sz w:val="24"/>
          <w:szCs w:val="24"/>
          <w:lang w:val="en-US" w:eastAsia="zh-CN"/>
        </w:rPr>
        <w:t>大学英语素质与能力拓展</w:t>
      </w:r>
      <w:r>
        <w:rPr>
          <w:rFonts w:hint="eastAsia" w:ascii="仿宋" w:hAnsi="仿宋" w:eastAsia="仿宋" w:cs="宋体"/>
          <w:color w:val="333333"/>
          <w:kern w:val="0"/>
          <w:sz w:val="24"/>
          <w:szCs w:val="24"/>
        </w:rPr>
        <w:t>”微专业证书。学生可自主报名考取</w:t>
      </w:r>
      <w:r>
        <w:rPr>
          <w:rFonts w:hint="eastAsia" w:ascii="仿宋" w:hAnsi="仿宋" w:eastAsia="仿宋" w:cs="宋体"/>
          <w:color w:val="333333"/>
          <w:kern w:val="0"/>
          <w:sz w:val="24"/>
          <w:szCs w:val="24"/>
          <w:lang w:val="en-US" w:eastAsia="zh-CN"/>
        </w:rPr>
        <w:t>大学英语四、六级</w:t>
      </w:r>
      <w:r>
        <w:rPr>
          <w:rFonts w:hint="eastAsia" w:ascii="仿宋" w:hAnsi="仿宋" w:eastAsia="仿宋" w:cs="宋体"/>
          <w:color w:val="333333"/>
          <w:kern w:val="0"/>
          <w:sz w:val="24"/>
          <w:szCs w:val="24"/>
        </w:rPr>
        <w:t>等级证书。</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七、报名方法及相关说明</w:t>
      </w:r>
    </w:p>
    <w:p>
      <w:pPr>
        <w:widowControl/>
        <w:snapToGrid w:val="0"/>
        <w:spacing w:line="360" w:lineRule="auto"/>
        <w:ind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1、报名须知</w:t>
      </w:r>
    </w:p>
    <w:p>
      <w:pPr>
        <w:widowControl/>
        <w:snapToGrid w:val="0"/>
        <w:spacing w:line="360" w:lineRule="auto"/>
        <w:ind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(1)</w:t>
      </w:r>
      <w:r>
        <w:rPr>
          <w:rFonts w:hint="eastAsia" w:ascii="仿宋" w:hAnsi="仿宋" w:eastAsia="仿宋" w:cs="宋体"/>
          <w:color w:val="333333"/>
          <w:kern w:val="0"/>
          <w:sz w:val="24"/>
          <w:szCs w:val="24"/>
          <w:lang w:val="en-US" w:eastAsia="zh-CN"/>
        </w:rPr>
        <w:t xml:space="preserve"> </w:t>
      </w:r>
      <w:r>
        <w:rPr>
          <w:rFonts w:hint="eastAsia" w:ascii="仿宋" w:hAnsi="仿宋" w:eastAsia="仿宋" w:cs="宋体"/>
          <w:color w:val="333333"/>
          <w:kern w:val="0"/>
          <w:sz w:val="24"/>
          <w:szCs w:val="24"/>
        </w:rPr>
        <w:t>报名时间：发布之日起即可报名</w:t>
      </w:r>
    </w:p>
    <w:p>
      <w:pPr>
        <w:widowControl/>
        <w:snapToGrid w:val="0"/>
        <w:spacing w:line="360" w:lineRule="auto"/>
        <w:ind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(2)</w:t>
      </w:r>
      <w:r>
        <w:rPr>
          <w:rFonts w:hint="eastAsia" w:ascii="仿宋" w:hAnsi="仿宋" w:eastAsia="仿宋" w:cs="宋体"/>
          <w:color w:val="333333"/>
          <w:kern w:val="0"/>
          <w:sz w:val="24"/>
          <w:szCs w:val="24"/>
          <w:lang w:val="en-US" w:eastAsia="zh-CN"/>
        </w:rPr>
        <w:t xml:space="preserve"> </w:t>
      </w:r>
      <w:r>
        <w:rPr>
          <w:rFonts w:hint="eastAsia" w:ascii="仿宋" w:hAnsi="仿宋" w:eastAsia="仿宋" w:cs="宋体"/>
          <w:color w:val="333333"/>
          <w:kern w:val="0"/>
          <w:sz w:val="24"/>
          <w:szCs w:val="24"/>
        </w:rPr>
        <w:t>报名方式：</w:t>
      </w:r>
      <w:r>
        <w:rPr>
          <w:rFonts w:hint="eastAsia" w:ascii="仿宋" w:hAnsi="仿宋" w:eastAsia="仿宋" w:cs="宋体"/>
          <w:color w:val="333333"/>
          <w:kern w:val="0"/>
          <w:sz w:val="24"/>
          <w:szCs w:val="24"/>
          <w:lang w:val="en-US" w:eastAsia="zh-CN"/>
        </w:rPr>
        <w:t>下载填写</w:t>
      </w:r>
      <w:r>
        <w:rPr>
          <w:rFonts w:hint="eastAsia" w:ascii="仿宋" w:hAnsi="仿宋" w:eastAsia="仿宋" w:cs="宋体"/>
          <w:color w:val="333333"/>
          <w:kern w:val="0"/>
          <w:sz w:val="24"/>
          <w:szCs w:val="24"/>
        </w:rPr>
        <w:t>《微专业</w:t>
      </w:r>
      <w:r>
        <w:rPr>
          <w:rFonts w:hint="eastAsia" w:ascii="仿宋" w:hAnsi="仿宋" w:eastAsia="仿宋" w:cs="宋体"/>
          <w:color w:val="333333"/>
          <w:kern w:val="0"/>
          <w:sz w:val="24"/>
          <w:szCs w:val="24"/>
          <w:lang w:val="en-US" w:eastAsia="zh-CN"/>
        </w:rPr>
        <w:t>报名申请</w:t>
      </w:r>
      <w:r>
        <w:rPr>
          <w:rFonts w:hint="eastAsia" w:ascii="仿宋" w:hAnsi="仿宋" w:eastAsia="仿宋" w:cs="宋体"/>
          <w:color w:val="333333"/>
          <w:kern w:val="0"/>
          <w:sz w:val="24"/>
          <w:szCs w:val="24"/>
        </w:rPr>
        <w:t>表》</w:t>
      </w:r>
      <w:r>
        <w:rPr>
          <w:rFonts w:hint="eastAsia" w:ascii="仿宋" w:hAnsi="仿宋" w:eastAsia="仿宋" w:cs="宋体"/>
          <w:color w:val="333333"/>
          <w:kern w:val="0"/>
          <w:sz w:val="24"/>
          <w:szCs w:val="24"/>
          <w:lang w:eastAsia="zh-CN"/>
        </w:rPr>
        <w:t>，</w:t>
      </w:r>
      <w:r>
        <w:rPr>
          <w:rFonts w:hint="eastAsia" w:ascii="仿宋" w:hAnsi="仿宋" w:eastAsia="仿宋" w:cs="宋体"/>
          <w:color w:val="333333"/>
          <w:kern w:val="0"/>
          <w:sz w:val="24"/>
          <w:szCs w:val="24"/>
          <w:lang w:val="en-US" w:eastAsia="zh-CN"/>
        </w:rPr>
        <w:t>申请表</w:t>
      </w:r>
      <w:r>
        <w:rPr>
          <w:rFonts w:hint="eastAsia" w:ascii="仿宋" w:hAnsi="仿宋" w:eastAsia="仿宋" w:cs="宋体"/>
          <w:color w:val="333333"/>
          <w:kern w:val="0"/>
          <w:sz w:val="24"/>
          <w:szCs w:val="24"/>
        </w:rPr>
        <w:t>提交至</w:t>
      </w:r>
      <w:r>
        <w:rPr>
          <w:rFonts w:hint="eastAsia" w:ascii="仿宋" w:hAnsi="仿宋" w:eastAsia="仿宋" w:cs="宋体"/>
          <w:color w:val="333333"/>
          <w:kern w:val="0"/>
          <w:sz w:val="24"/>
          <w:szCs w:val="24"/>
          <w:lang w:val="en-US" w:eastAsia="zh-CN"/>
        </w:rPr>
        <w:t>外国语学院教学办</w:t>
      </w:r>
      <w:r>
        <w:rPr>
          <w:rFonts w:hint="eastAsia" w:ascii="仿宋" w:hAnsi="仿宋" w:eastAsia="仿宋" w:cs="宋体"/>
          <w:color w:val="333333"/>
          <w:kern w:val="0"/>
          <w:sz w:val="24"/>
          <w:szCs w:val="24"/>
        </w:rPr>
        <w:t>（</w:t>
      </w:r>
      <w:r>
        <w:rPr>
          <w:rFonts w:hint="eastAsia" w:ascii="仿宋" w:hAnsi="仿宋" w:eastAsia="仿宋" w:cs="宋体"/>
          <w:color w:val="333333"/>
          <w:kern w:val="0"/>
          <w:sz w:val="24"/>
          <w:szCs w:val="24"/>
          <w:lang w:val="en-US" w:eastAsia="zh-CN"/>
        </w:rPr>
        <w:t>3号实验楼3-511</w:t>
      </w:r>
      <w:r>
        <w:rPr>
          <w:rFonts w:hint="eastAsia" w:ascii="仿宋" w:hAnsi="仿宋" w:eastAsia="仿宋" w:cs="宋体"/>
          <w:color w:val="333333"/>
          <w:kern w:val="0"/>
          <w:sz w:val="24"/>
          <w:szCs w:val="24"/>
        </w:rPr>
        <w:t>）</w:t>
      </w:r>
      <w:bookmarkStart w:id="0" w:name="_GoBack"/>
      <w:bookmarkEnd w:id="0"/>
    </w:p>
    <w:p>
      <w:pPr>
        <w:widowControl/>
        <w:snapToGrid w:val="0"/>
        <w:spacing w:line="360" w:lineRule="auto"/>
        <w:ind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2、录取名单在</w:t>
      </w:r>
      <w:r>
        <w:rPr>
          <w:rFonts w:hint="eastAsia" w:ascii="仿宋" w:hAnsi="仿宋" w:eastAsia="仿宋" w:cs="宋体"/>
          <w:color w:val="333333"/>
          <w:kern w:val="0"/>
          <w:sz w:val="24"/>
          <w:szCs w:val="24"/>
          <w:lang w:val="en-US" w:eastAsia="zh-CN"/>
        </w:rPr>
        <w:t>外国语学院</w:t>
      </w:r>
      <w:r>
        <w:rPr>
          <w:rFonts w:hint="eastAsia" w:ascii="仿宋" w:hAnsi="仿宋" w:eastAsia="仿宋" w:cs="宋体"/>
          <w:color w:val="333333"/>
          <w:kern w:val="0"/>
          <w:sz w:val="24"/>
          <w:szCs w:val="24"/>
        </w:rPr>
        <w:t>网站进行公示，以便学生查询。</w:t>
      </w:r>
    </w:p>
    <w:p>
      <w:pPr>
        <w:widowControl/>
        <w:snapToGrid w:val="0"/>
        <w:spacing w:line="360" w:lineRule="auto"/>
        <w:ind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3、咨询方式：</w:t>
      </w:r>
    </w:p>
    <w:p>
      <w:pPr>
        <w:widowControl/>
        <w:snapToGrid w:val="0"/>
        <w:spacing w:line="360" w:lineRule="auto"/>
        <w:ind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lang w:val="en-US" w:eastAsia="zh-CN"/>
        </w:rPr>
        <w:t>外国语学院</w:t>
      </w:r>
      <w:r>
        <w:rPr>
          <w:rFonts w:hint="eastAsia" w:ascii="仿宋" w:hAnsi="仿宋" w:eastAsia="仿宋" w:cs="宋体"/>
          <w:color w:val="333333"/>
          <w:kern w:val="0"/>
          <w:sz w:val="24"/>
          <w:szCs w:val="24"/>
        </w:rPr>
        <w:t>：</w:t>
      </w:r>
      <w:r>
        <w:rPr>
          <w:rFonts w:hint="eastAsia" w:ascii="仿宋" w:hAnsi="仿宋" w:eastAsia="仿宋" w:cs="宋体"/>
          <w:color w:val="333333"/>
          <w:kern w:val="0"/>
          <w:sz w:val="24"/>
          <w:szCs w:val="24"/>
          <w:lang w:val="en-US" w:eastAsia="zh-CN"/>
        </w:rPr>
        <w:t>19171715786薛</w:t>
      </w:r>
      <w:r>
        <w:rPr>
          <w:rFonts w:hint="eastAsia" w:ascii="仿宋" w:hAnsi="仿宋" w:eastAsia="仿宋" w:cs="宋体"/>
          <w:color w:val="333333"/>
          <w:kern w:val="0"/>
          <w:sz w:val="24"/>
          <w:szCs w:val="24"/>
        </w:rPr>
        <w:t>老师，QQ群：704297002</w:t>
      </w:r>
    </w:p>
    <w:p>
      <w:pPr>
        <w:widowControl/>
        <w:snapToGrid w:val="0"/>
        <w:spacing w:line="360" w:lineRule="auto"/>
        <w:ind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4、教学安排</w:t>
      </w:r>
    </w:p>
    <w:p>
      <w:pPr>
        <w:widowControl/>
        <w:snapToGrid w:val="0"/>
        <w:spacing w:line="360" w:lineRule="auto"/>
        <w:ind w:firstLine="480"/>
        <w:rPr>
          <w:rFonts w:hint="eastAsia" w:ascii="仿宋" w:hAnsi="仿宋" w:eastAsia="仿宋" w:cs="宋体"/>
          <w:color w:val="333333"/>
          <w:kern w:val="0"/>
          <w:sz w:val="24"/>
          <w:szCs w:val="24"/>
        </w:rPr>
      </w:pPr>
      <w:r>
        <w:rPr>
          <w:rFonts w:hint="eastAsia" w:ascii="仿宋" w:hAnsi="仿宋" w:eastAsia="仿宋" w:cs="宋体"/>
          <w:color w:val="333333"/>
          <w:kern w:val="0"/>
          <w:sz w:val="24"/>
          <w:szCs w:val="24"/>
        </w:rPr>
        <w:t>(1)</w:t>
      </w:r>
      <w:r>
        <w:rPr>
          <w:rFonts w:hint="eastAsia" w:ascii="仿宋" w:hAnsi="仿宋" w:eastAsia="仿宋" w:cs="宋体"/>
          <w:color w:val="333333"/>
          <w:kern w:val="0"/>
          <w:sz w:val="24"/>
          <w:szCs w:val="24"/>
          <w:lang w:val="en-US" w:eastAsia="zh-CN"/>
        </w:rPr>
        <w:t xml:space="preserve"> </w:t>
      </w:r>
      <w:r>
        <w:rPr>
          <w:rFonts w:hint="eastAsia" w:ascii="仿宋" w:hAnsi="仿宋" w:eastAsia="仿宋" w:cs="宋体"/>
          <w:color w:val="333333"/>
          <w:kern w:val="0"/>
          <w:sz w:val="24"/>
          <w:szCs w:val="24"/>
        </w:rPr>
        <w:t>单独编班</w:t>
      </w:r>
    </w:p>
    <w:p>
      <w:pPr>
        <w:widowControl/>
        <w:snapToGrid w:val="0"/>
        <w:spacing w:line="360" w:lineRule="auto"/>
        <w:ind w:firstLine="480"/>
        <w:rPr>
          <w:rFonts w:ascii="仿宋" w:hAnsi="仿宋" w:eastAsia="仿宋" w:cs="宋体"/>
          <w:color w:val="333333"/>
          <w:kern w:val="0"/>
          <w:sz w:val="24"/>
          <w:szCs w:val="24"/>
        </w:rPr>
      </w:pPr>
      <w:r>
        <w:rPr>
          <w:rFonts w:hint="eastAsia" w:ascii="仿宋" w:hAnsi="仿宋" w:eastAsia="仿宋" w:cs="宋体"/>
          <w:color w:val="333333"/>
          <w:kern w:val="0"/>
          <w:sz w:val="24"/>
          <w:szCs w:val="24"/>
        </w:rPr>
        <w:t>(2)</w:t>
      </w:r>
      <w:r>
        <w:rPr>
          <w:rFonts w:hint="eastAsia" w:ascii="仿宋" w:hAnsi="仿宋" w:eastAsia="仿宋" w:cs="宋体"/>
          <w:color w:val="333333"/>
          <w:kern w:val="0"/>
          <w:sz w:val="24"/>
          <w:szCs w:val="24"/>
          <w:lang w:val="en-US" w:eastAsia="zh-CN"/>
        </w:rPr>
        <w:t xml:space="preserve"> </w:t>
      </w:r>
      <w:r>
        <w:rPr>
          <w:rFonts w:hint="eastAsia" w:ascii="仿宋" w:hAnsi="仿宋" w:eastAsia="仿宋" w:cs="宋体"/>
          <w:color w:val="333333"/>
          <w:kern w:val="0"/>
          <w:sz w:val="24"/>
          <w:szCs w:val="24"/>
        </w:rPr>
        <w:t>上课形式：线上/线下；周末/周中/寒暑假；具体开课时间另行安排。</w:t>
      </w:r>
    </w:p>
    <w:p>
      <w:pPr>
        <w:widowControl/>
        <w:snapToGrid w:val="0"/>
        <w:spacing w:line="360" w:lineRule="auto"/>
        <w:rPr>
          <w:rFonts w:ascii="仿宋" w:hAnsi="仿宋" w:eastAsia="仿宋" w:cs="宋体"/>
          <w:color w:val="333333"/>
          <w:kern w:val="0"/>
          <w:sz w:val="24"/>
          <w:szCs w:val="24"/>
        </w:rPr>
      </w:pPr>
      <w:r>
        <w:rPr>
          <w:rFonts w:hint="eastAsia" w:ascii="仿宋" w:hAnsi="仿宋" w:eastAsia="仿宋" w:cs="宋体"/>
          <w:b/>
          <w:bCs/>
          <w:color w:val="333333"/>
          <w:kern w:val="0"/>
          <w:sz w:val="24"/>
          <w:szCs w:val="24"/>
        </w:rPr>
        <w:t>八、课程简介</w:t>
      </w:r>
    </w:p>
    <w:p>
      <w:pPr>
        <w:widowControl/>
        <w:snapToGrid w:val="0"/>
        <w:spacing w:line="360" w:lineRule="auto"/>
        <w:ind w:left="65" w:leftChars="31" w:firstLine="48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1.《</w:t>
      </w:r>
      <w:r>
        <w:rPr>
          <w:rFonts w:hint="eastAsia" w:ascii="仿宋" w:hAnsi="仿宋" w:eastAsia="仿宋" w:cs="宋体"/>
          <w:b/>
          <w:color w:val="333333"/>
          <w:kern w:val="0"/>
          <w:sz w:val="24"/>
          <w:szCs w:val="24"/>
          <w:lang w:val="en-US" w:eastAsia="zh-CN"/>
        </w:rPr>
        <w:t>基础英语语法</w:t>
      </w:r>
      <w:r>
        <w:rPr>
          <w:rFonts w:hint="eastAsia" w:ascii="仿宋" w:hAnsi="仿宋" w:eastAsia="仿宋" w:cs="宋体"/>
          <w:b/>
          <w:color w:val="333333"/>
          <w:kern w:val="0"/>
          <w:sz w:val="24"/>
          <w:szCs w:val="24"/>
        </w:rPr>
        <w:t>》</w:t>
      </w:r>
    </w:p>
    <w:p>
      <w:pPr>
        <w:widowControl/>
        <w:snapToGrid w:val="0"/>
        <w:spacing w:line="360" w:lineRule="auto"/>
        <w:ind w:left="65" w:leftChars="31" w:firstLine="480"/>
        <w:rPr>
          <w:rFonts w:hint="eastAsia" w:ascii="仿宋" w:hAnsi="仿宋" w:eastAsia="仿宋" w:cs="宋体"/>
          <w:b/>
          <w:color w:val="333333"/>
          <w:kern w:val="0"/>
          <w:sz w:val="24"/>
          <w:szCs w:val="24"/>
        </w:rPr>
      </w:pPr>
      <w:r>
        <w:rPr>
          <w:rFonts w:hint="eastAsia" w:ascii="仿宋" w:hAnsi="仿宋" w:eastAsia="仿宋" w:cs="宋体"/>
          <w:b w:val="0"/>
          <w:bCs/>
          <w:color w:val="333333"/>
          <w:kern w:val="0"/>
          <w:sz w:val="24"/>
          <w:szCs w:val="24"/>
        </w:rPr>
        <w:t>课程内容：内容包括句子结构、时态语态、从句与非谓语动词、虚拟语气与特殊句式四部分。其中，句子结构主要介绍基本句型与成分分析；时态语态涵盖常用时态辨析、被动语态的构成与使用；从句与非谓语动词重点讲解定语从句、名词性从句、状语从句以及分词、动名词和不定式的用法；虚拟语气与特殊句式涉及条件句、倒装、强调结构等常见语法难点。通过系统讲解与实战训练，帮助学生夯实语法基础，提升语法应用能力。</w:t>
      </w:r>
    </w:p>
    <w:p>
      <w:pPr>
        <w:widowControl/>
        <w:snapToGrid w:val="0"/>
        <w:spacing w:line="360" w:lineRule="auto"/>
        <w:ind w:left="65" w:leftChars="31" w:firstLine="48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2.《</w:t>
      </w:r>
      <w:r>
        <w:rPr>
          <w:rFonts w:hint="eastAsia" w:ascii="仿宋" w:hAnsi="仿宋" w:eastAsia="仿宋" w:cs="宋体"/>
          <w:b/>
          <w:color w:val="333333"/>
          <w:kern w:val="0"/>
          <w:sz w:val="24"/>
          <w:szCs w:val="24"/>
          <w:lang w:val="en-US" w:eastAsia="zh-CN"/>
        </w:rPr>
        <w:t>高级英语阅读</w:t>
      </w:r>
      <w:r>
        <w:rPr>
          <w:rFonts w:hint="eastAsia" w:ascii="仿宋" w:hAnsi="仿宋" w:eastAsia="仿宋" w:cs="宋体"/>
          <w:b/>
          <w:color w:val="333333"/>
          <w:kern w:val="0"/>
          <w:sz w:val="24"/>
          <w:szCs w:val="24"/>
        </w:rPr>
        <w:t>》</w:t>
      </w:r>
    </w:p>
    <w:p>
      <w:pPr>
        <w:widowControl/>
        <w:snapToGrid w:val="0"/>
        <w:spacing w:line="360" w:lineRule="auto"/>
        <w:ind w:left="65" w:leftChars="31" w:firstLine="480"/>
        <w:rPr>
          <w:rFonts w:hint="eastAsia" w:ascii="仿宋" w:hAnsi="仿宋" w:eastAsia="仿宋" w:cs="宋体"/>
          <w:b/>
          <w:color w:val="333333"/>
          <w:kern w:val="0"/>
          <w:sz w:val="24"/>
          <w:szCs w:val="24"/>
        </w:rPr>
      </w:pPr>
      <w:r>
        <w:rPr>
          <w:rFonts w:hint="eastAsia" w:ascii="仿宋" w:hAnsi="仿宋" w:eastAsia="仿宋" w:cs="宋体"/>
          <w:b w:val="0"/>
          <w:bCs/>
          <w:color w:val="333333"/>
          <w:kern w:val="0"/>
          <w:sz w:val="24"/>
          <w:szCs w:val="24"/>
        </w:rPr>
        <w:t>课程内容：</w:t>
      </w:r>
      <w:r>
        <w:rPr>
          <w:rFonts w:hint="eastAsia" w:ascii="仿宋" w:hAnsi="仿宋" w:eastAsia="仿宋" w:cs="宋体"/>
          <w:b w:val="0"/>
          <w:bCs/>
          <w:color w:val="333333"/>
          <w:kern w:val="0"/>
          <w:sz w:val="24"/>
          <w:szCs w:val="24"/>
          <w:lang w:val="en-US" w:eastAsia="zh-CN"/>
        </w:rPr>
        <w:t>本课程聚焦高级英语阅读核心能力提升，适配英语微专业进阶需求。通过学术论文、外刊专栏、职场文本等多元体裁训练，深化快速定位、逻辑解构、批判性解读等技巧，兼顾学术研究与职场应用场景。帮助学员突破长难句、复杂语篇理解瓶颈，提升跨语境信息筛选、研判与整合能力，夯实英语阅读素养，为学术深造及国际职场沟通筑牢基础。</w:t>
      </w:r>
    </w:p>
    <w:p>
      <w:pPr>
        <w:widowControl/>
        <w:snapToGrid w:val="0"/>
        <w:spacing w:line="360" w:lineRule="auto"/>
        <w:ind w:left="65" w:leftChars="31" w:firstLine="48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3.《</w:t>
      </w:r>
      <w:r>
        <w:rPr>
          <w:rFonts w:hint="eastAsia" w:ascii="仿宋" w:hAnsi="仿宋" w:eastAsia="仿宋" w:cs="宋体"/>
          <w:b/>
          <w:color w:val="333333"/>
          <w:kern w:val="0"/>
          <w:sz w:val="24"/>
          <w:szCs w:val="24"/>
          <w:lang w:val="en-US" w:eastAsia="zh-CN"/>
        </w:rPr>
        <w:t>高级英语写作</w:t>
      </w:r>
      <w:r>
        <w:rPr>
          <w:rFonts w:hint="eastAsia" w:ascii="仿宋" w:hAnsi="仿宋" w:eastAsia="仿宋" w:cs="宋体"/>
          <w:b/>
          <w:color w:val="333333"/>
          <w:kern w:val="0"/>
          <w:sz w:val="24"/>
          <w:szCs w:val="24"/>
        </w:rPr>
        <w:t>》</w:t>
      </w:r>
    </w:p>
    <w:p>
      <w:pPr>
        <w:widowControl/>
        <w:snapToGrid w:val="0"/>
        <w:spacing w:line="360" w:lineRule="auto"/>
        <w:ind w:left="65" w:leftChars="31" w:firstLine="480"/>
        <w:rPr>
          <w:rFonts w:hint="eastAsia" w:ascii="仿宋" w:hAnsi="仿宋" w:eastAsia="仿宋" w:cs="宋体"/>
          <w:b/>
          <w:color w:val="333333"/>
          <w:kern w:val="0"/>
          <w:sz w:val="24"/>
          <w:szCs w:val="24"/>
        </w:rPr>
      </w:pPr>
      <w:r>
        <w:rPr>
          <w:rFonts w:hint="eastAsia" w:ascii="仿宋" w:hAnsi="仿宋" w:eastAsia="仿宋" w:cs="宋体"/>
          <w:b w:val="0"/>
          <w:bCs/>
          <w:color w:val="333333"/>
          <w:kern w:val="0"/>
          <w:sz w:val="24"/>
          <w:szCs w:val="24"/>
        </w:rPr>
        <w:t>课程内容：内容包括英语写作知识和技能提升、大学英语四六级，</w:t>
      </w:r>
      <w:r>
        <w:rPr>
          <w:rFonts w:hint="eastAsia" w:ascii="仿宋" w:hAnsi="仿宋" w:eastAsia="仿宋" w:cs="宋体"/>
          <w:b w:val="0"/>
          <w:bCs/>
          <w:color w:val="333333"/>
          <w:kern w:val="0"/>
          <w:sz w:val="24"/>
          <w:szCs w:val="24"/>
          <w:lang w:val="en-US" w:eastAsia="zh-CN"/>
        </w:rPr>
        <w:t>考研英语一、二</w:t>
      </w:r>
      <w:r>
        <w:rPr>
          <w:rFonts w:hint="eastAsia" w:ascii="仿宋" w:hAnsi="仿宋" w:eastAsia="仿宋" w:cs="宋体"/>
          <w:b w:val="0"/>
          <w:bCs/>
          <w:color w:val="333333"/>
          <w:kern w:val="0"/>
          <w:sz w:val="24"/>
          <w:szCs w:val="24"/>
        </w:rPr>
        <w:t>写作提升、应用文写作提升。英语写作知识和技能提升旨在提升文章结构和语言表达的清晰性和逻辑性，提高论证的严密性和说服力。大学英语四六级、</w:t>
      </w:r>
      <w:r>
        <w:rPr>
          <w:rFonts w:hint="eastAsia" w:ascii="仿宋" w:hAnsi="仿宋" w:eastAsia="仿宋" w:cs="宋体"/>
          <w:b w:val="0"/>
          <w:bCs/>
          <w:color w:val="333333"/>
          <w:kern w:val="0"/>
          <w:sz w:val="24"/>
          <w:szCs w:val="24"/>
          <w:lang w:val="en-US" w:eastAsia="zh-CN"/>
        </w:rPr>
        <w:t>考研英语一、二</w:t>
      </w:r>
      <w:r>
        <w:rPr>
          <w:rFonts w:hint="eastAsia" w:ascii="仿宋" w:hAnsi="仿宋" w:eastAsia="仿宋" w:cs="宋体"/>
          <w:b w:val="0"/>
          <w:bCs/>
          <w:color w:val="333333"/>
          <w:kern w:val="0"/>
          <w:sz w:val="24"/>
          <w:szCs w:val="24"/>
        </w:rPr>
        <w:t>写作提升包括词汇、短语、句型积累，文章标题，提纲，段落，全文构思等，应用文写作提升包括邮件、通知、说明、表格、申请、简历等英文写作训练。</w:t>
      </w:r>
    </w:p>
    <w:p>
      <w:pPr>
        <w:widowControl/>
        <w:snapToGrid w:val="0"/>
        <w:spacing w:line="360" w:lineRule="auto"/>
        <w:ind w:left="65" w:leftChars="31" w:firstLine="48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4.《</w:t>
      </w:r>
      <w:r>
        <w:rPr>
          <w:rFonts w:hint="eastAsia" w:ascii="仿宋" w:hAnsi="仿宋" w:eastAsia="仿宋" w:cs="宋体"/>
          <w:b/>
          <w:color w:val="333333"/>
          <w:kern w:val="0"/>
          <w:sz w:val="24"/>
          <w:szCs w:val="24"/>
          <w:lang w:val="en-US" w:eastAsia="zh-CN"/>
        </w:rPr>
        <w:t>英语翻译</w:t>
      </w:r>
      <w:r>
        <w:rPr>
          <w:rFonts w:hint="eastAsia" w:ascii="仿宋" w:hAnsi="仿宋" w:eastAsia="仿宋" w:cs="宋体"/>
          <w:b/>
          <w:color w:val="333333"/>
          <w:kern w:val="0"/>
          <w:sz w:val="24"/>
          <w:szCs w:val="24"/>
        </w:rPr>
        <w:t>》</w:t>
      </w:r>
    </w:p>
    <w:p>
      <w:pPr>
        <w:widowControl/>
        <w:snapToGrid w:val="0"/>
        <w:spacing w:line="360" w:lineRule="auto"/>
        <w:ind w:left="65" w:leftChars="31" w:firstLine="480"/>
        <w:rPr>
          <w:rFonts w:hint="eastAsia" w:ascii="仿宋" w:hAnsi="仿宋" w:eastAsia="仿宋" w:cs="宋体"/>
          <w:b/>
          <w:color w:val="333333"/>
          <w:kern w:val="0"/>
          <w:sz w:val="24"/>
          <w:szCs w:val="24"/>
        </w:rPr>
      </w:pPr>
      <w:r>
        <w:rPr>
          <w:rFonts w:hint="eastAsia" w:ascii="仿宋" w:hAnsi="仿宋" w:eastAsia="仿宋" w:cs="宋体"/>
          <w:b w:val="0"/>
          <w:bCs/>
          <w:color w:val="333333"/>
          <w:kern w:val="0"/>
          <w:sz w:val="24"/>
          <w:szCs w:val="24"/>
        </w:rPr>
        <w:t>课程内容：本课程内容包含英汉互译的基本理论、核心技巧与实践方法。通过对比分析英语和汉语在词汇、句法、修辞及文化层面的差异，学生将掌握不同文体的翻译策略，并培养准确、通顺进行双向翻译的能力。课程强调理论联系实际，结合大量课堂练习与真实语料分析，提升学生的语言转换能力和跨文化交际意识。</w:t>
      </w:r>
    </w:p>
    <w:p>
      <w:pPr>
        <w:widowControl/>
        <w:snapToGrid w:val="0"/>
        <w:spacing w:line="360" w:lineRule="auto"/>
        <w:ind w:left="65" w:leftChars="31" w:firstLine="480"/>
        <w:rPr>
          <w:rFonts w:hint="eastAsia" w:ascii="仿宋" w:hAnsi="仿宋" w:eastAsia="仿宋" w:cs="宋体"/>
          <w:b/>
          <w:color w:val="333333"/>
          <w:kern w:val="0"/>
          <w:sz w:val="24"/>
          <w:szCs w:val="24"/>
        </w:rPr>
      </w:pPr>
      <w:r>
        <w:rPr>
          <w:rFonts w:hint="eastAsia" w:ascii="仿宋" w:hAnsi="仿宋" w:eastAsia="仿宋" w:cs="宋体"/>
          <w:b/>
          <w:color w:val="333333"/>
          <w:kern w:val="0"/>
          <w:sz w:val="24"/>
          <w:szCs w:val="24"/>
        </w:rPr>
        <w:t>5.《</w:t>
      </w:r>
      <w:r>
        <w:rPr>
          <w:rFonts w:hint="eastAsia" w:ascii="仿宋" w:hAnsi="仿宋" w:eastAsia="仿宋" w:cs="宋体"/>
          <w:b/>
          <w:color w:val="333333"/>
          <w:kern w:val="0"/>
          <w:sz w:val="24"/>
          <w:szCs w:val="24"/>
          <w:lang w:val="en-US" w:eastAsia="zh-CN"/>
        </w:rPr>
        <w:t>跨文化沟通</w:t>
      </w:r>
      <w:r>
        <w:rPr>
          <w:rFonts w:hint="eastAsia" w:ascii="仿宋" w:hAnsi="仿宋" w:eastAsia="仿宋" w:cs="宋体"/>
          <w:b/>
          <w:color w:val="333333"/>
          <w:kern w:val="0"/>
          <w:sz w:val="24"/>
          <w:szCs w:val="24"/>
        </w:rPr>
        <w:t>》</w:t>
      </w:r>
    </w:p>
    <w:p>
      <w:pPr>
        <w:widowControl/>
        <w:snapToGrid w:val="0"/>
        <w:spacing w:line="360" w:lineRule="auto"/>
        <w:ind w:left="65" w:leftChars="31" w:firstLine="480"/>
        <w:rPr>
          <w:rFonts w:ascii="仿宋" w:hAnsi="仿宋" w:eastAsia="仿宋" w:cs="Arial"/>
          <w:b w:val="0"/>
          <w:bCs/>
          <w:vanish/>
          <w:kern w:val="0"/>
          <w:sz w:val="24"/>
          <w:szCs w:val="24"/>
        </w:rPr>
      </w:pPr>
      <w:r>
        <w:rPr>
          <w:rFonts w:hint="eastAsia" w:ascii="仿宋" w:hAnsi="仿宋" w:eastAsia="仿宋" w:cs="宋体"/>
          <w:b w:val="0"/>
          <w:bCs/>
          <w:color w:val="333333"/>
          <w:kern w:val="0"/>
          <w:sz w:val="24"/>
          <w:szCs w:val="24"/>
        </w:rPr>
        <w:t>课程内容：</w:t>
      </w:r>
      <w:r>
        <w:rPr>
          <w:rFonts w:hint="eastAsia" w:ascii="仿宋" w:hAnsi="仿宋" w:eastAsia="仿宋" w:cs="宋体"/>
          <w:b w:val="0"/>
          <w:bCs/>
          <w:color w:val="333333"/>
          <w:kern w:val="0"/>
          <w:sz w:val="24"/>
          <w:szCs w:val="24"/>
          <w:lang w:val="en-US" w:eastAsia="zh-CN"/>
        </w:rPr>
        <w:t>本课程聚焦跨文化沟通核心能力，通过文化维度理论、中外文化价值观对比，结合职场协作、学术交流、日常互动等场景，解析语言背后的文化逻辑与沟通禁忌。训练跨文化语境适配、非语言信号解读、冲突化解等实用技能，帮助学员突破文化壁垒，提升跨文化表达的准确性与得体性，筑牢国际交流中的文化素养与沟通底气。</w:t>
      </w:r>
    </w:p>
    <w:p>
      <w:pPr>
        <w:snapToGrid w:val="0"/>
        <w:spacing w:line="360" w:lineRule="auto"/>
        <w:ind w:left="65" w:leftChars="31"/>
        <w:rPr>
          <w:rFonts w:ascii="仿宋" w:hAnsi="仿宋" w:eastAsia="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549531"/>
    <w:multiLevelType w:val="singleLevel"/>
    <w:tmpl w:val="D754953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22A"/>
    <w:rsid w:val="000148D0"/>
    <w:rsid w:val="00082146"/>
    <w:rsid w:val="002626D8"/>
    <w:rsid w:val="00301947"/>
    <w:rsid w:val="0047622A"/>
    <w:rsid w:val="0049050E"/>
    <w:rsid w:val="006347C4"/>
    <w:rsid w:val="007B5C6A"/>
    <w:rsid w:val="008A2D1F"/>
    <w:rsid w:val="00A909A7"/>
    <w:rsid w:val="00A913DE"/>
    <w:rsid w:val="00BD7CEB"/>
    <w:rsid w:val="00D77773"/>
    <w:rsid w:val="00D8411E"/>
    <w:rsid w:val="27BBD3A5"/>
    <w:rsid w:val="37DFE610"/>
    <w:rsid w:val="37FDC4C7"/>
    <w:rsid w:val="3BBFCA5B"/>
    <w:rsid w:val="3FED8ECC"/>
    <w:rsid w:val="5FBF4C82"/>
    <w:rsid w:val="77EB0053"/>
    <w:rsid w:val="79D7A5D8"/>
    <w:rsid w:val="7EBFCD02"/>
    <w:rsid w:val="7F7FE561"/>
    <w:rsid w:val="7FBF77E1"/>
    <w:rsid w:val="AF771ABA"/>
    <w:rsid w:val="DBBF4D6A"/>
    <w:rsid w:val="DEBDCA2D"/>
    <w:rsid w:val="FF77A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209</Words>
  <Characters>1196</Characters>
  <Lines>9</Lines>
  <Paragraphs>2</Paragraphs>
  <TotalTime>13</TotalTime>
  <ScaleCrop>false</ScaleCrop>
  <LinksUpToDate>false</LinksUpToDate>
  <CharactersWithSpaces>1403</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2025-11-29T21:49:00Z</dcterms:created>
  <dc:creator>江上飞</dc:creator>
  <cp:lastModifiedBy>薛行健</cp:lastModifiedBy>
  <dcterms:modified xsi:type="dcterms:W3CDTF">2026-04-13T09:30:49Z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DF785B86613E14E5A0AF5B6950764062_42</vt:lpwstr>
  </property>
</Properties>
</file>