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04FF1">
      <w:pPr>
        <w:spacing w:line="560" w:lineRule="exact"/>
        <w:jc w:val="center"/>
        <w:outlineLvl w:val="0"/>
        <w:rPr>
          <w:rFonts w:hint="eastAsia" w:ascii="方正小标宋简体" w:hAnsi="宋体" w:eastAsia="方正小标宋简体"/>
          <w:sz w:val="36"/>
          <w:szCs w:val="36"/>
        </w:rPr>
      </w:pPr>
      <w:bookmarkStart w:id="0" w:name="OLE_LINK3"/>
      <w:r>
        <w:rPr>
          <w:rFonts w:hint="eastAsia" w:ascii="方正小标宋简体" w:hAnsi="宋体" w:eastAsia="方正小标宋简体"/>
          <w:sz w:val="36"/>
          <w:szCs w:val="36"/>
        </w:rPr>
        <w:t>202</w:t>
      </w:r>
      <w:r>
        <w:rPr>
          <w:rFonts w:hint="eastAsia" w:ascii="方正小标宋简体" w:hAnsi="宋体" w:eastAsia="方正小标宋简体"/>
          <w:sz w:val="36"/>
          <w:szCs w:val="36"/>
          <w:lang w:val="en-US" w:eastAsia="zh-CN"/>
        </w:rPr>
        <w:t>6</w:t>
      </w:r>
      <w:r>
        <w:rPr>
          <w:rFonts w:hint="eastAsia" w:ascii="方正小标宋简体" w:hAnsi="宋体" w:eastAsia="方正小标宋简体"/>
          <w:sz w:val="36"/>
          <w:szCs w:val="36"/>
        </w:rPr>
        <w:t>年湖北</w:t>
      </w:r>
      <w:r>
        <w:rPr>
          <w:rFonts w:hint="eastAsia" w:ascii="方正小标宋简体" w:hAnsi="宋体" w:eastAsia="方正小标宋简体"/>
          <w:sz w:val="36"/>
          <w:szCs w:val="36"/>
          <w:lang w:val="en-US" w:eastAsia="zh-CN"/>
        </w:rPr>
        <w:t>师范大学文理学院校级</w:t>
      </w:r>
      <w:r>
        <w:rPr>
          <w:rFonts w:hint="eastAsia" w:ascii="方正小标宋简体" w:hAnsi="宋体" w:eastAsia="方正小标宋简体"/>
          <w:sz w:val="36"/>
          <w:szCs w:val="36"/>
        </w:rPr>
        <w:t>教学改革研究项目指南</w:t>
      </w:r>
    </w:p>
    <w:bookmarkEnd w:id="0"/>
    <w:p w14:paraId="6219DA43">
      <w:pPr>
        <w:spacing w:line="560" w:lineRule="exact"/>
        <w:jc w:val="center"/>
        <w:outlineLvl w:val="0"/>
        <w:rPr>
          <w:rFonts w:hint="eastAsia" w:ascii="方正小标宋简体" w:hAnsi="宋体" w:eastAsia="方正小标宋简体"/>
          <w:sz w:val="36"/>
          <w:szCs w:val="36"/>
          <w:highlight w:val="yellow"/>
        </w:rPr>
      </w:pPr>
    </w:p>
    <w:p w14:paraId="0DBA376F">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一、高等教育发展战略及体制机制研究</w:t>
      </w:r>
    </w:p>
    <w:p w14:paraId="326884C9">
      <w:pPr>
        <w:adjustRightInd w:val="0"/>
        <w:snapToGrid w:val="0"/>
        <w:spacing w:line="560" w:lineRule="exact"/>
        <w:ind w:firstLine="640" w:firstLineChars="200"/>
        <w:rPr>
          <w:rFonts w:hint="eastAsia" w:ascii="仿宋" w:hAnsi="仿宋" w:eastAsia="仿宋_GB2312"/>
          <w:sz w:val="32"/>
          <w:szCs w:val="32"/>
        </w:rPr>
      </w:pPr>
      <w:r>
        <w:rPr>
          <w:rFonts w:hint="eastAsia" w:ascii="仿宋" w:hAnsi="仿宋" w:eastAsia="仿宋_GB2312"/>
          <w:sz w:val="32"/>
          <w:szCs w:val="32"/>
        </w:rPr>
        <w:t>结合高等教育发展趋势和我省实际，开展湖北高等教育发展战略研究和湖北高等教育竞争力研究；湖北省高等教育规模、结构、质量、效益协调发展和可持续发展机制的研究与实践；高等学校创新产学研合作机制研究；高等教育人才培养与经济社会发展需要适配机制研究；民办高校、独立学院的体制和运行机制的研究与实践；强化有组织人才培养、有组织科技创新、有组织服务国家和区域发展，凝练总结可复制可推广的体制机制和组织形态创新经验，牵引带动高等教育深层次、全方位改革创新发展方面的创新研究与实践。</w:t>
      </w:r>
    </w:p>
    <w:p w14:paraId="1A33161A">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二、“大思政”育人格局研究</w:t>
      </w:r>
    </w:p>
    <w:p w14:paraId="2CDBA739">
      <w:pPr>
        <w:adjustRightInd w:val="0"/>
        <w:snapToGrid w:val="0"/>
        <w:spacing w:line="560" w:lineRule="exact"/>
        <w:ind w:firstLine="640" w:firstLineChars="200"/>
        <w:rPr>
          <w:rFonts w:hint="eastAsia" w:ascii="仿宋" w:hAnsi="仿宋" w:eastAsia="仿宋_GB2312"/>
          <w:sz w:val="32"/>
          <w:szCs w:val="32"/>
          <w:lang w:eastAsia="zh-CN"/>
        </w:rPr>
      </w:pPr>
      <w:r>
        <w:rPr>
          <w:rFonts w:hint="eastAsia" w:ascii="仿宋" w:hAnsi="仿宋" w:eastAsia="仿宋_GB2312"/>
          <w:sz w:val="32"/>
          <w:szCs w:val="32"/>
        </w:rPr>
        <w:t>聚</w:t>
      </w:r>
      <w:r>
        <w:rPr>
          <w:rFonts w:hint="default" w:ascii="仿宋" w:hAnsi="仿宋" w:eastAsia="仿宋_GB2312"/>
          <w:sz w:val="32"/>
          <w:szCs w:val="32"/>
        </w:rPr>
        <w:t>焦课程思政改革一般原则和规律，围绕理想信念、社会主义核心价值观、法治教育、劳动教育、心理健康教育、中华优秀文化、职业素养等思政元素，打造紧密联系、彼此支撑的课程思政教学体系，帮助学生塑造正确的世界观、人生观、价值观。</w:t>
      </w:r>
      <w:r>
        <w:rPr>
          <w:rFonts w:hint="eastAsia" w:ascii="仿宋" w:hAnsi="仿宋" w:eastAsia="仿宋_GB2312"/>
          <w:sz w:val="32"/>
          <w:szCs w:val="32"/>
        </w:rPr>
        <w:t>深化“大思政课”教育教学改革，推进习近平新时代中国特色社会主义思想融入专业教育全过程等方面改革与研究；推进习近平法治思想“三进”等方面研究；“马工程”重点教材的应用与研究等</w:t>
      </w:r>
      <w:r>
        <w:rPr>
          <w:rFonts w:hint="eastAsia" w:ascii="仿宋" w:hAnsi="仿宋" w:eastAsia="仿宋_GB2312"/>
          <w:sz w:val="32"/>
          <w:szCs w:val="32"/>
          <w:lang w:eastAsia="zh-CN"/>
        </w:rPr>
        <w:t>。</w:t>
      </w:r>
      <w:bookmarkStart w:id="1" w:name="_GoBack"/>
      <w:bookmarkEnd w:id="1"/>
    </w:p>
    <w:p w14:paraId="2D4E202F">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三、人才培养模式机制改革研究</w:t>
      </w:r>
    </w:p>
    <w:p w14:paraId="2E15B47D">
      <w:pPr>
        <w:adjustRightInd w:val="0"/>
        <w:snapToGrid w:val="0"/>
        <w:spacing w:line="56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瞄准</w:t>
      </w:r>
      <w:r>
        <w:rPr>
          <w:rFonts w:hint="eastAsia" w:ascii="仿宋" w:hAnsi="仿宋" w:eastAsia="仿宋_GB2312"/>
          <w:sz w:val="32"/>
          <w:szCs w:val="32"/>
        </w:rPr>
        <w:t>科技发展、</w:t>
      </w:r>
      <w:r>
        <w:rPr>
          <w:rFonts w:hint="eastAsia" w:ascii="仿宋" w:hAnsi="仿宋" w:eastAsia="仿宋_GB2312"/>
          <w:sz w:val="32"/>
          <w:szCs w:val="32"/>
          <w:lang w:val="en-US" w:eastAsia="zh-CN"/>
        </w:rPr>
        <w:t>区域经济发展</w:t>
      </w:r>
      <w:r>
        <w:rPr>
          <w:rFonts w:hint="eastAsia" w:ascii="仿宋" w:hAnsi="仿宋" w:eastAsia="仿宋_GB2312"/>
          <w:sz w:val="32"/>
          <w:szCs w:val="32"/>
        </w:rPr>
        <w:t>战略需求导向的人才培养模式改革；产学研用协同育人模式研究与实践；高校拔尖创业人才培养体系构建与实践；基础学科拔尖创新人才培养创新与实践；高校素质教育教学内容与体系建设研究；基于学生自主学习能力培养和个性化教学的人才培养模式研究与实践等。</w:t>
      </w:r>
    </w:p>
    <w:p w14:paraId="17A71C05">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四、“四新”建设改革与实践研究</w:t>
      </w:r>
    </w:p>
    <w:p w14:paraId="0250A617">
      <w:pPr>
        <w:adjustRightInd w:val="0"/>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lang w:val="en-US" w:eastAsia="zh-CN"/>
        </w:rPr>
        <w:t>1</w:t>
      </w:r>
      <w:r>
        <w:rPr>
          <w:rFonts w:hint="eastAsia" w:ascii="楷体_GB2312" w:hAnsi="仿宋" w:eastAsia="楷体_GB2312"/>
          <w:b/>
          <w:sz w:val="32"/>
          <w:szCs w:val="32"/>
        </w:rPr>
        <w:t>.新工科研究与改革实践</w:t>
      </w:r>
    </w:p>
    <w:p w14:paraId="28FE75F8">
      <w:pPr>
        <w:adjustRightInd w:val="0"/>
        <w:snapToGrid w:val="0"/>
        <w:spacing w:line="560" w:lineRule="exact"/>
        <w:ind w:firstLine="640" w:firstLineChars="200"/>
        <w:rPr>
          <w:rFonts w:hint="default" w:ascii="仿宋" w:hAnsi="仿宋" w:eastAsia="仿宋_GB2312"/>
          <w:sz w:val="32"/>
          <w:szCs w:val="32"/>
        </w:rPr>
      </w:pPr>
      <w:r>
        <w:rPr>
          <w:rFonts w:hint="eastAsia" w:ascii="仿宋" w:hAnsi="仿宋" w:eastAsia="仿宋_GB2312"/>
          <w:sz w:val="32"/>
          <w:szCs w:val="32"/>
          <w:lang w:val="en-US" w:eastAsia="zh-CN"/>
        </w:rPr>
        <w:t>研</w:t>
      </w:r>
      <w:r>
        <w:rPr>
          <w:rFonts w:hint="default" w:ascii="仿宋" w:hAnsi="仿宋" w:eastAsia="仿宋_GB2312"/>
          <w:sz w:val="32"/>
          <w:szCs w:val="32"/>
          <w:lang w:val="en-US" w:eastAsia="zh-CN"/>
        </w:rPr>
        <w:t>究新工科建设理念，探讨教育基本理论问题；分析教育科学研究特征和发展趋势；优化专业结构；改造升级传统工科专业；建设通专融合课程和教材体系；研究跨学科教育组织模式；促进教师与行业人才交流；建设新工科教育共同体；提升学习质量；构建全链条标准体系等。</w:t>
      </w:r>
    </w:p>
    <w:p w14:paraId="7565294D">
      <w:pPr>
        <w:adjustRightInd w:val="0"/>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lang w:val="en-US" w:eastAsia="zh-CN"/>
        </w:rPr>
        <w:t>2</w:t>
      </w:r>
      <w:r>
        <w:rPr>
          <w:rFonts w:hint="eastAsia" w:ascii="楷体_GB2312" w:hAnsi="仿宋" w:eastAsia="楷体_GB2312"/>
          <w:b/>
          <w:sz w:val="32"/>
          <w:szCs w:val="32"/>
        </w:rPr>
        <w:t>.新文科研究与改革实践</w:t>
      </w:r>
    </w:p>
    <w:p w14:paraId="6AE67507">
      <w:pPr>
        <w:adjustRightInd w:val="0"/>
        <w:snapToGrid w:val="0"/>
        <w:spacing w:line="560" w:lineRule="exact"/>
        <w:ind w:firstLine="640" w:firstLineChars="200"/>
        <w:rPr>
          <w:rFonts w:hint="default" w:ascii="仿宋" w:hAnsi="仿宋" w:eastAsia="仿宋_GB2312"/>
          <w:sz w:val="32"/>
          <w:szCs w:val="32"/>
          <w:lang w:val="en-US" w:eastAsia="zh-CN"/>
        </w:rPr>
      </w:pPr>
      <w:r>
        <w:rPr>
          <w:rFonts w:hint="default" w:ascii="仿宋" w:hAnsi="仿宋" w:eastAsia="仿宋_GB2312"/>
          <w:sz w:val="32"/>
          <w:szCs w:val="32"/>
          <w:lang w:val="en-US" w:eastAsia="zh-CN"/>
        </w:rPr>
        <w:t>新文科建设发展理念与改革发展研究；新文科建设政策与支撑体系研究；新时代文科专业结构优化研究与实践；原有文科专业改造提升改革与实践；新兴文科专业建设探索与实践；新文科课程体系和教材体系建设实践；新文科教师专业发展探索与实践；融合现代信息技术的教师教学方法创新与实践；</w:t>
      </w:r>
    </w:p>
    <w:p w14:paraId="435E6C5B">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五、教学“新基建”综合改革研究与实践</w:t>
      </w:r>
    </w:p>
    <w:p w14:paraId="538B1D75">
      <w:pPr>
        <w:adjustRightInd w:val="0"/>
        <w:snapToGrid w:val="0"/>
        <w:spacing w:line="560" w:lineRule="exact"/>
        <w:ind w:firstLine="643" w:firstLineChars="200"/>
        <w:rPr>
          <w:rFonts w:hint="eastAsia" w:ascii="楷体_GB2312" w:hAnsi="仿宋" w:eastAsia="楷体_GB2312"/>
          <w:b/>
          <w:sz w:val="32"/>
          <w:szCs w:val="32"/>
        </w:rPr>
      </w:pPr>
      <w:r>
        <w:rPr>
          <w:rFonts w:ascii="楷体_GB2312" w:hAnsi="仿宋" w:eastAsia="楷体_GB2312"/>
          <w:b/>
          <w:sz w:val="32"/>
          <w:szCs w:val="32"/>
        </w:rPr>
        <w:t>1.</w:t>
      </w:r>
      <w:r>
        <w:rPr>
          <w:rFonts w:hint="eastAsia" w:ascii="楷体_GB2312" w:hAnsi="仿宋" w:eastAsia="楷体_GB2312"/>
          <w:b/>
          <w:sz w:val="32"/>
          <w:szCs w:val="32"/>
        </w:rPr>
        <w:t>专业建设改革研究与实践</w:t>
      </w:r>
    </w:p>
    <w:p w14:paraId="1161CF8C">
      <w:pPr>
        <w:adjustRightInd w:val="0"/>
        <w:snapToGrid w:val="0"/>
        <w:spacing w:line="560" w:lineRule="exact"/>
        <w:ind w:firstLine="640" w:firstLineChars="200"/>
        <w:rPr>
          <w:rFonts w:hint="eastAsia" w:ascii="仿宋" w:hAnsi="仿宋" w:eastAsia="仿宋_GB2312"/>
          <w:sz w:val="32"/>
          <w:szCs w:val="32"/>
        </w:rPr>
      </w:pPr>
      <w:r>
        <w:rPr>
          <w:rFonts w:hint="eastAsia" w:ascii="仿宋" w:hAnsi="仿宋" w:eastAsia="仿宋_GB2312"/>
          <w:sz w:val="32"/>
          <w:szCs w:val="32"/>
        </w:rPr>
        <w:t>面向新兴战略产业的学科专业与人才培养快速响应机制探索与实践；一流本科专业建设研究；“微专业”建设的探索与实践；高等学校专业群建设研究、品牌特色专业建设及紧缺专业和新办专业建设研究；适应湖北区域经济社会发展要求的优势、对接区域产业链建立产教融合特色优势专业（群）建设与改革研究；根据专业人才培养目标，基于专业知识图谱、能力图谱、问题图谱梳理构建专业知识体系，实现“人工智能+智慧专业”建设</w:t>
      </w:r>
      <w:r>
        <w:rPr>
          <w:rFonts w:hint="eastAsia" w:ascii="仿宋" w:hAnsi="仿宋" w:eastAsia="仿宋_GB2312"/>
          <w:sz w:val="32"/>
          <w:szCs w:val="32"/>
          <w:lang w:val="en-US" w:eastAsia="zh-CN"/>
        </w:rPr>
        <w:t>研究</w:t>
      </w:r>
      <w:r>
        <w:rPr>
          <w:rFonts w:hint="eastAsia" w:ascii="仿宋" w:hAnsi="仿宋" w:eastAsia="仿宋_GB2312"/>
          <w:sz w:val="32"/>
          <w:szCs w:val="32"/>
          <w:lang w:eastAsia="zh-CN"/>
        </w:rPr>
        <w:t>。</w:t>
      </w:r>
    </w:p>
    <w:p w14:paraId="52E5A283">
      <w:pPr>
        <w:adjustRightInd w:val="0"/>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2.课程、教材建设研究</w:t>
      </w:r>
    </w:p>
    <w:p w14:paraId="2D604CB6">
      <w:pPr>
        <w:adjustRightInd w:val="0"/>
        <w:snapToGrid w:val="0"/>
        <w:spacing w:line="560" w:lineRule="exact"/>
        <w:ind w:firstLine="640" w:firstLineChars="200"/>
        <w:rPr>
          <w:rFonts w:hint="eastAsia" w:ascii="仿宋" w:hAnsi="仿宋" w:eastAsia="仿宋_GB2312"/>
          <w:sz w:val="32"/>
          <w:szCs w:val="32"/>
        </w:rPr>
      </w:pPr>
      <w:r>
        <w:rPr>
          <w:rFonts w:hint="eastAsia" w:ascii="仿宋" w:hAnsi="仿宋" w:eastAsia="仿宋_GB2312"/>
          <w:sz w:val="32"/>
          <w:szCs w:val="32"/>
        </w:rPr>
        <w:t>基于能力图谱、知识图谱的课程建设与探索研究</w:t>
      </w:r>
      <w:r>
        <w:rPr>
          <w:rFonts w:hint="eastAsia" w:ascii="仿宋" w:hAnsi="仿宋" w:eastAsia="仿宋_GB2312"/>
          <w:sz w:val="32"/>
          <w:szCs w:val="32"/>
          <w:lang w:eastAsia="zh-CN"/>
        </w:rPr>
        <w:t>，</w:t>
      </w:r>
      <w:r>
        <w:rPr>
          <w:rFonts w:hint="eastAsia" w:ascii="仿宋" w:hAnsi="仿宋" w:eastAsia="仿宋_GB2312"/>
          <w:sz w:val="32"/>
          <w:szCs w:val="32"/>
        </w:rPr>
        <w:t>完成数智赋能课程知识图谱、能力图谱和素质图谱设计，探索实现AI赋能的“师-生-机”深度交互教学模式，完善精准化、个性化的“多元评价与反馈”机制建设。助力学校实现教师人工智能应用能力与数字素养提升，整体推进学校的智慧</w:t>
      </w:r>
      <w:r>
        <w:rPr>
          <w:rFonts w:hint="eastAsia" w:ascii="仿宋" w:hAnsi="仿宋" w:eastAsia="仿宋_GB2312"/>
          <w:sz w:val="32"/>
          <w:szCs w:val="32"/>
          <w:lang w:val="en-US" w:eastAsia="zh-CN"/>
        </w:rPr>
        <w:t>课程建设</w:t>
      </w:r>
      <w:r>
        <w:rPr>
          <w:rFonts w:hint="eastAsia" w:ascii="仿宋" w:hAnsi="仿宋" w:eastAsia="仿宋_GB2312"/>
          <w:sz w:val="32"/>
          <w:szCs w:val="32"/>
        </w:rPr>
        <w:t>；产学合作新课程的开发研究；国家级规划教材建设研究；经典传承教材、示范性新形态教材，多介质、数字化、智能化、快速迭代的新形态教材建设；数字教材建设等。</w:t>
      </w:r>
    </w:p>
    <w:p w14:paraId="2D153126">
      <w:pPr>
        <w:adjustRightInd w:val="0"/>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3.教师队伍建设与教师教学能力提升</w:t>
      </w:r>
    </w:p>
    <w:p w14:paraId="70D84753">
      <w:pPr>
        <w:adjustRightInd w:val="0"/>
        <w:snapToGrid w:val="0"/>
        <w:spacing w:line="560" w:lineRule="exact"/>
        <w:ind w:firstLine="640" w:firstLineChars="200"/>
        <w:rPr>
          <w:rFonts w:hint="eastAsia" w:ascii="仿宋" w:hAnsi="仿宋" w:eastAsia="仿宋_GB2312"/>
          <w:sz w:val="32"/>
          <w:szCs w:val="32"/>
        </w:rPr>
      </w:pPr>
      <w:r>
        <w:rPr>
          <w:rFonts w:hint="eastAsia" w:ascii="仿宋" w:hAnsi="仿宋" w:eastAsia="仿宋_GB2312"/>
          <w:sz w:val="32"/>
          <w:szCs w:val="32"/>
        </w:rPr>
        <w:t>教学团队建设与优秀教学团队形成机制研究；基层教学组织建设研究；高校教师教学能力、实践能力提升方式与途径研究；完善教授为本科生授课的机制研究与实践；高校教风与学风建设；科学合理的高校教师教学能力评价办法探索与实践；高校教师教学激励机制研究；教学名师培养、名师工作室建设；“双师型”教师队伍建设与管理研究等。</w:t>
      </w:r>
    </w:p>
    <w:p w14:paraId="14A563A5">
      <w:pPr>
        <w:adjustRightInd w:val="0"/>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4.教学内容更新与教学方法改革</w:t>
      </w:r>
    </w:p>
    <w:p w14:paraId="21699A22">
      <w:pPr>
        <w:adjustRightInd w:val="0"/>
        <w:snapToGrid w:val="0"/>
        <w:spacing w:line="560" w:lineRule="exact"/>
        <w:ind w:firstLine="640" w:firstLineChars="200"/>
        <w:rPr>
          <w:rFonts w:hint="eastAsia" w:ascii="仿宋" w:hAnsi="仿宋" w:eastAsia="仿宋_GB2312"/>
          <w:sz w:val="32"/>
          <w:szCs w:val="32"/>
        </w:rPr>
      </w:pPr>
      <w:r>
        <w:rPr>
          <w:rFonts w:hint="eastAsia" w:ascii="仿宋" w:hAnsi="仿宋" w:eastAsia="仿宋_GB2312"/>
          <w:sz w:val="32"/>
          <w:szCs w:val="32"/>
        </w:rPr>
        <w:t>基于创新人才培养的教学内容更新研究；高校课堂教学模式创新研究；与职业（行业）标准相衔接的课程与教学内容体系探索；人工智能时代高等教育政策与体制机制改革研究；“人工智能+”教育教学改革研究与实践；</w:t>
      </w:r>
      <w:r>
        <w:rPr>
          <w:rFonts w:hint="eastAsia" w:ascii="仿宋_GB2312" w:hAnsi="Times New Roman" w:eastAsia="仿宋_GB2312" w:cs="仿宋_GB2312"/>
          <w:kern w:val="0"/>
          <w:sz w:val="32"/>
          <w:szCs w:val="32"/>
        </w:rPr>
        <w:t>人工智能赋能本科教育教学创新提质探索与实践；师生人工智能素养提升的改革与实践；人工智能通识教育的理念创新与课程体系构建；</w:t>
      </w:r>
      <w:r>
        <w:rPr>
          <w:rFonts w:hint="eastAsia" w:ascii="仿宋" w:hAnsi="仿宋" w:eastAsia="仿宋_GB2312"/>
          <w:sz w:val="32"/>
          <w:szCs w:val="32"/>
        </w:rPr>
        <w:t>四个“未来”（未来学习中心、未来课堂、未来学校、未来教师）建设研究；人工智能赋能专业评价、学生评价的改革与实践；</w:t>
      </w:r>
    </w:p>
    <w:p w14:paraId="405F818C">
      <w:pPr>
        <w:adjustRightInd w:val="0"/>
        <w:snapToGrid w:val="0"/>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5.实践教学改革与大学生创新能力培养</w:t>
      </w:r>
    </w:p>
    <w:p w14:paraId="67C34089">
      <w:pPr>
        <w:adjustRightInd w:val="0"/>
        <w:snapToGrid w:val="0"/>
        <w:spacing w:line="560" w:lineRule="exact"/>
        <w:ind w:firstLine="640" w:firstLineChars="200"/>
        <w:rPr>
          <w:rFonts w:hint="eastAsia" w:ascii="仿宋" w:hAnsi="仿宋" w:eastAsia="仿宋_GB2312"/>
          <w:sz w:val="32"/>
          <w:szCs w:val="32"/>
        </w:rPr>
      </w:pPr>
      <w:r>
        <w:rPr>
          <w:rFonts w:hint="eastAsia" w:ascii="仿宋" w:hAnsi="仿宋" w:eastAsia="仿宋_GB2312"/>
          <w:sz w:val="32"/>
          <w:szCs w:val="32"/>
        </w:rPr>
        <w:t>高校实践教学模式及运行机制创新研究；实践课教师队伍建设；实践教育基地建设模式的研究与实践；实验教学示范中心、虚拟仿真实验中心、工程训练中心、实习实训基地的建设、管理与运行机制研究；大学生实践能力培养、毕业实习、毕业设计（论文）等各实践教学环节的建设与管理研究；大学生创新创业教育与就业、创业能力研究；创新创业教育课程体系建设、创新创业实践平台建设、创新创业教育实践、创新创业教育管理改革等；大学生科技创新竞赛活动组织管理模式研究；大学生创新活动基地建设和运行管理机制研究；第二课堂与大学生创新能力培养研究；以科技为支撑的高校师生创新创业研究与实践</w:t>
      </w:r>
      <w:r>
        <w:rPr>
          <w:rFonts w:hint="eastAsia" w:ascii="仿宋" w:hAnsi="仿宋" w:eastAsia="仿宋_GB2312"/>
          <w:sz w:val="32"/>
          <w:szCs w:val="32"/>
          <w:lang w:val="en-US" w:eastAsia="zh-CN"/>
        </w:rPr>
        <w:t>等</w:t>
      </w:r>
      <w:r>
        <w:rPr>
          <w:rFonts w:hint="eastAsia" w:ascii="仿宋" w:hAnsi="仿宋" w:eastAsia="仿宋_GB2312"/>
          <w:sz w:val="32"/>
          <w:szCs w:val="32"/>
        </w:rPr>
        <w:t>。</w:t>
      </w:r>
    </w:p>
    <w:p w14:paraId="5DBB0151">
      <w:pPr>
        <w:adjustRightInd w:val="0"/>
        <w:snapToGrid w:val="0"/>
        <w:spacing w:line="56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六、其他项目</w:t>
      </w:r>
    </w:p>
    <w:p w14:paraId="2063DD69">
      <w:pPr>
        <w:adjustRightInd w:val="0"/>
        <w:snapToGrid w:val="0"/>
        <w:spacing w:line="560" w:lineRule="exact"/>
        <w:ind w:firstLine="640" w:firstLineChars="200"/>
        <w:rPr>
          <w:rFonts w:hint="eastAsia" w:ascii="仿宋" w:hAnsi="仿宋" w:eastAsia="仿宋_GB2312"/>
          <w:sz w:val="32"/>
          <w:szCs w:val="32"/>
          <w:lang w:eastAsia="zh-CN"/>
        </w:rPr>
      </w:pPr>
      <w:r>
        <w:rPr>
          <w:rFonts w:hint="eastAsia" w:ascii="仿宋" w:hAnsi="仿宋" w:eastAsia="仿宋_GB2312"/>
          <w:sz w:val="32"/>
          <w:szCs w:val="32"/>
          <w:lang w:val="en-US" w:eastAsia="zh-CN"/>
        </w:rPr>
        <w:t>各教学单位</w:t>
      </w:r>
      <w:r>
        <w:rPr>
          <w:rFonts w:hint="eastAsia" w:ascii="仿宋" w:hAnsi="仿宋" w:eastAsia="仿宋_GB2312"/>
          <w:sz w:val="32"/>
          <w:szCs w:val="32"/>
        </w:rPr>
        <w:t>根据自身本科教学建设及规划情况，自主选定支持立项项目</w:t>
      </w:r>
      <w:r>
        <w:rPr>
          <w:rFonts w:hint="eastAsia" w:ascii="仿宋" w:hAnsi="仿宋"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FE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2026-05-12T01:06:34Z</dcterms:created>
  <dc:creator>admin</dc:creator>
  <cp:lastModifiedBy>Butterfly</cp:lastModifiedBy>
  <dcterms:modified xsi:type="dcterms:W3CDTF">2026-05-12T02:32:56Z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eyJoZGlkIjoiMzk3YmUwN2EyOWU0YWE4Njg2ZjY1ZTY2NzQ3NjE5NWMiLCJ1c2VySWQiOiI3OTgwNzQxNTMifQ==</vt:lpwstr>
  </property>
  <property fmtid="{D5CDD505-2E9C-101B-9397-08002B2CF9AE}" pid="4" name="ICV">
    <vt:lpwstr>15A4A0B5AEF045788E15F77A9D6D70B0_12</vt:lpwstr>
  </property>
</Properties>
</file>